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D403F" w14:textId="04763324" w:rsidR="001829AC" w:rsidRDefault="001829AC" w:rsidP="001829AC">
      <w:pPr>
        <w:jc w:val="center"/>
        <w:rPr>
          <w:b/>
          <w:sz w:val="28"/>
          <w:szCs w:val="28"/>
        </w:rPr>
      </w:pPr>
      <w:r>
        <w:rPr>
          <w:b/>
          <w:sz w:val="28"/>
          <w:szCs w:val="28"/>
        </w:rPr>
        <w:t>20</w:t>
      </w:r>
      <w:r w:rsidR="00673B29">
        <w:rPr>
          <w:b/>
          <w:sz w:val="28"/>
          <w:szCs w:val="28"/>
        </w:rPr>
        <w:t>2</w:t>
      </w:r>
      <w:r w:rsidR="004C4661">
        <w:rPr>
          <w:b/>
          <w:sz w:val="28"/>
          <w:szCs w:val="28"/>
        </w:rPr>
        <w:t>1</w:t>
      </w:r>
      <w:r w:rsidR="00D71BE4">
        <w:rPr>
          <w:b/>
          <w:sz w:val="28"/>
          <w:szCs w:val="28"/>
        </w:rPr>
        <w:t xml:space="preserve"> </w:t>
      </w:r>
      <w:r>
        <w:rPr>
          <w:b/>
          <w:sz w:val="28"/>
          <w:szCs w:val="28"/>
        </w:rPr>
        <w:t xml:space="preserve">Reserve Study </w:t>
      </w:r>
    </w:p>
    <w:p w14:paraId="03956F9E" w14:textId="2BA67C0B" w:rsidR="001829AC" w:rsidRPr="00A0305D" w:rsidRDefault="001829AC" w:rsidP="001829AC">
      <w:pPr>
        <w:jc w:val="center"/>
        <w:rPr>
          <w:b/>
          <w:sz w:val="28"/>
          <w:szCs w:val="28"/>
        </w:rPr>
      </w:pPr>
    </w:p>
    <w:p w14:paraId="16E7BDC4" w14:textId="77777777" w:rsidR="001829AC" w:rsidRDefault="001829AC" w:rsidP="001829AC">
      <w:pPr>
        <w:spacing w:after="120"/>
        <w:rPr>
          <w:b/>
          <w:sz w:val="24"/>
          <w:szCs w:val="24"/>
        </w:rPr>
      </w:pPr>
      <w:r>
        <w:rPr>
          <w:b/>
          <w:sz w:val="24"/>
          <w:szCs w:val="24"/>
        </w:rPr>
        <w:t>Introduction</w:t>
      </w:r>
    </w:p>
    <w:p w14:paraId="5367D8FA" w14:textId="580236B5" w:rsidR="001829AC" w:rsidRDefault="001829AC" w:rsidP="001829AC">
      <w:pPr>
        <w:spacing w:after="120"/>
        <w:rPr>
          <w:sz w:val="24"/>
          <w:szCs w:val="24"/>
        </w:rPr>
      </w:pPr>
      <w:r w:rsidRPr="006110E3">
        <w:rPr>
          <w:sz w:val="24"/>
          <w:szCs w:val="24"/>
        </w:rPr>
        <w:t xml:space="preserve">A reserve study is a </w:t>
      </w:r>
      <w:r w:rsidR="00673B29">
        <w:rPr>
          <w:sz w:val="24"/>
          <w:szCs w:val="24"/>
        </w:rPr>
        <w:t xml:space="preserve">state mandated </w:t>
      </w:r>
      <w:r w:rsidRPr="006110E3">
        <w:rPr>
          <w:sz w:val="24"/>
          <w:szCs w:val="24"/>
        </w:rPr>
        <w:t xml:space="preserve">long-term capital budget planning tool which identifies the current status of the reserve fund and a stable and equitable funding plan to offset ongoing deterioration, resulting in sufficient funds when those anticipated major common area expenditures actually occur. The reserve study consists of two parts: the physical analysis and the financial analysis. </w:t>
      </w:r>
      <w:r>
        <w:rPr>
          <w:sz w:val="24"/>
          <w:szCs w:val="24"/>
        </w:rPr>
        <w:t>The physical analysis consists of a list of capital items, their useful life, remaining life, and current replacement cost.  The financial analysis is a projection of available funds and future replacement costs at the end of life of each asset. Assumptions in the financial analysis are the average long</w:t>
      </w:r>
      <w:r w:rsidR="00673B29">
        <w:rPr>
          <w:sz w:val="24"/>
          <w:szCs w:val="24"/>
        </w:rPr>
        <w:t>-</w:t>
      </w:r>
      <w:r>
        <w:rPr>
          <w:sz w:val="24"/>
          <w:szCs w:val="24"/>
        </w:rPr>
        <w:t>term interest rate and the average inflation rate.</w:t>
      </w:r>
    </w:p>
    <w:p w14:paraId="51FBC151" w14:textId="77777777" w:rsidR="001829AC" w:rsidRDefault="001829AC" w:rsidP="001829AC">
      <w:pPr>
        <w:spacing w:after="120"/>
        <w:rPr>
          <w:sz w:val="24"/>
          <w:szCs w:val="24"/>
        </w:rPr>
      </w:pPr>
      <w:r>
        <w:rPr>
          <w:sz w:val="24"/>
          <w:szCs w:val="24"/>
        </w:rPr>
        <w:t xml:space="preserve">Although a Reserve Study is required by law to be updated annually and more completely every 3 years, there is no required level of Replacement Reserves. The most conservative level of funding is called “fully funded” and consists of having an amount of money on hand equal to the depreciation of the assets. A less conservative funding approach is “baseline” funding where funds are only sufficient to maintain a positive balance. This level of funding can result in special assessments if any of the assumptions in the plan turn out to be overly optimistic. In between these two approaches is “threshold” funding in which a percentage of fully funded (e.g. 70%) is the goal. </w:t>
      </w:r>
    </w:p>
    <w:p w14:paraId="423419BE" w14:textId="7160C044" w:rsidR="001829AC" w:rsidRDefault="001829AC" w:rsidP="001829AC">
      <w:pPr>
        <w:spacing w:after="120"/>
        <w:rPr>
          <w:sz w:val="24"/>
          <w:szCs w:val="24"/>
        </w:rPr>
      </w:pPr>
      <w:r>
        <w:rPr>
          <w:sz w:val="24"/>
          <w:szCs w:val="24"/>
        </w:rPr>
        <w:t>The Board has determined that Sierra Bonita Village should target a fully funded level. Unlike most homeowner associations, Sierra Bonita Village is blessed with current reserves which will exceed fully funded levels for several more years without additional contributions, and that maintaining full funding into the distant future should not be financially difficult. Beyond about 1</w:t>
      </w:r>
      <w:r w:rsidR="004C4661">
        <w:rPr>
          <w:sz w:val="24"/>
          <w:szCs w:val="24"/>
        </w:rPr>
        <w:t>2</w:t>
      </w:r>
      <w:r>
        <w:rPr>
          <w:sz w:val="24"/>
          <w:szCs w:val="24"/>
        </w:rPr>
        <w:t xml:space="preserve"> years from now, additional funds must be regularly added to the Replacement Reserves to maintain any given target level.</w:t>
      </w:r>
    </w:p>
    <w:p w14:paraId="1C3E3CE1" w14:textId="76285EED" w:rsidR="001829AC" w:rsidRPr="001829AC" w:rsidRDefault="001829AC" w:rsidP="001829AC">
      <w:pPr>
        <w:spacing w:after="120"/>
        <w:rPr>
          <w:b/>
          <w:sz w:val="24"/>
          <w:szCs w:val="24"/>
        </w:rPr>
      </w:pPr>
      <w:r>
        <w:rPr>
          <w:b/>
          <w:sz w:val="24"/>
          <w:szCs w:val="24"/>
        </w:rPr>
        <w:t>Changes since 20</w:t>
      </w:r>
      <w:r w:rsidR="004C4661">
        <w:rPr>
          <w:b/>
          <w:sz w:val="24"/>
          <w:szCs w:val="24"/>
        </w:rPr>
        <w:t>20</w:t>
      </w:r>
    </w:p>
    <w:p w14:paraId="4E8C9623" w14:textId="630BDF31" w:rsidR="001829AC" w:rsidRDefault="00CA7CEE" w:rsidP="001829AC">
      <w:pPr>
        <w:pStyle w:val="ListParagraph"/>
        <w:numPr>
          <w:ilvl w:val="0"/>
          <w:numId w:val="2"/>
        </w:numPr>
        <w:spacing w:after="120"/>
        <w:rPr>
          <w:sz w:val="24"/>
          <w:szCs w:val="24"/>
        </w:rPr>
      </w:pPr>
      <w:r>
        <w:rPr>
          <w:sz w:val="24"/>
          <w:szCs w:val="24"/>
        </w:rPr>
        <w:t>C</w:t>
      </w:r>
      <w:r w:rsidR="001829AC" w:rsidRPr="001829AC">
        <w:rPr>
          <w:sz w:val="24"/>
          <w:szCs w:val="24"/>
        </w:rPr>
        <w:t>urb painting originally scheduled for 2019</w:t>
      </w:r>
      <w:r>
        <w:rPr>
          <w:sz w:val="24"/>
          <w:szCs w:val="24"/>
        </w:rPr>
        <w:t xml:space="preserve"> has been delayed for </w:t>
      </w:r>
      <w:r w:rsidR="004C4661">
        <w:rPr>
          <w:sz w:val="24"/>
          <w:szCs w:val="24"/>
        </w:rPr>
        <w:t>an additional year to 2022.</w:t>
      </w:r>
      <w:r w:rsidR="001829AC" w:rsidRPr="001829AC">
        <w:rPr>
          <w:sz w:val="24"/>
          <w:szCs w:val="24"/>
        </w:rPr>
        <w:t xml:space="preserve"> </w:t>
      </w:r>
      <w:r w:rsidR="009A5B82">
        <w:rPr>
          <w:sz w:val="24"/>
          <w:szCs w:val="24"/>
        </w:rPr>
        <w:t>Expected life increased to 8 years.</w:t>
      </w:r>
    </w:p>
    <w:p w14:paraId="6CB40E6D" w14:textId="63665B1D" w:rsidR="001829AC" w:rsidRDefault="004C4661" w:rsidP="001829AC">
      <w:pPr>
        <w:pStyle w:val="ListParagraph"/>
        <w:numPr>
          <w:ilvl w:val="0"/>
          <w:numId w:val="2"/>
        </w:numPr>
        <w:spacing w:after="120"/>
        <w:rPr>
          <w:sz w:val="24"/>
          <w:szCs w:val="24"/>
        </w:rPr>
      </w:pPr>
      <w:r>
        <w:rPr>
          <w:sz w:val="24"/>
          <w:szCs w:val="24"/>
        </w:rPr>
        <w:t>Average i</w:t>
      </w:r>
      <w:r w:rsidR="001829AC">
        <w:rPr>
          <w:sz w:val="24"/>
          <w:szCs w:val="24"/>
        </w:rPr>
        <w:t>nterest rate</w:t>
      </w:r>
      <w:r>
        <w:rPr>
          <w:sz w:val="24"/>
          <w:szCs w:val="24"/>
        </w:rPr>
        <w:t>s for savings and inflation have been reduced from 3% to 2%.</w:t>
      </w:r>
      <w:r w:rsidR="001829AC">
        <w:rPr>
          <w:sz w:val="24"/>
          <w:szCs w:val="24"/>
        </w:rPr>
        <w:t xml:space="preserve"> </w:t>
      </w:r>
    </w:p>
    <w:p w14:paraId="003E86F2" w14:textId="3F2009EF" w:rsidR="004C4661" w:rsidRDefault="004C4661" w:rsidP="001829AC">
      <w:pPr>
        <w:pStyle w:val="ListParagraph"/>
        <w:numPr>
          <w:ilvl w:val="0"/>
          <w:numId w:val="2"/>
        </w:numPr>
        <w:spacing w:after="120"/>
        <w:rPr>
          <w:sz w:val="24"/>
          <w:szCs w:val="24"/>
        </w:rPr>
      </w:pPr>
      <w:r>
        <w:rPr>
          <w:sz w:val="24"/>
          <w:szCs w:val="24"/>
        </w:rPr>
        <w:t>The color printer will be replaced with a black and white printer at half the cost at the end of its life.</w:t>
      </w:r>
    </w:p>
    <w:p w14:paraId="212AC7B0" w14:textId="0DBB0479" w:rsidR="00CA7CEE" w:rsidRPr="001829AC" w:rsidRDefault="00CA7CEE" w:rsidP="001829AC">
      <w:pPr>
        <w:pStyle w:val="ListParagraph"/>
        <w:numPr>
          <w:ilvl w:val="0"/>
          <w:numId w:val="2"/>
        </w:numPr>
        <w:spacing w:after="120"/>
        <w:rPr>
          <w:sz w:val="24"/>
          <w:szCs w:val="24"/>
        </w:rPr>
      </w:pPr>
      <w:r>
        <w:rPr>
          <w:sz w:val="24"/>
          <w:szCs w:val="24"/>
        </w:rPr>
        <w:t xml:space="preserve">The combined effect of the changes produces a </w:t>
      </w:r>
      <w:r w:rsidR="004C4661">
        <w:rPr>
          <w:sz w:val="24"/>
          <w:szCs w:val="24"/>
        </w:rPr>
        <w:t>delay in when additional funds will be required.</w:t>
      </w:r>
      <w:r w:rsidR="009A5B82">
        <w:rPr>
          <w:sz w:val="24"/>
          <w:szCs w:val="24"/>
        </w:rPr>
        <w:t xml:space="preserve"> </w:t>
      </w:r>
      <w:r w:rsidR="00932F98">
        <w:rPr>
          <w:sz w:val="24"/>
          <w:szCs w:val="24"/>
        </w:rPr>
        <w:t xml:space="preserve">The changes have not resulted in any </w:t>
      </w:r>
      <w:r w:rsidR="00673B29">
        <w:rPr>
          <w:sz w:val="24"/>
          <w:szCs w:val="24"/>
        </w:rPr>
        <w:t xml:space="preserve">significant changes </w:t>
      </w:r>
      <w:r w:rsidR="00932F98">
        <w:rPr>
          <w:sz w:val="24"/>
          <w:szCs w:val="24"/>
        </w:rPr>
        <w:t>over the next 10 years and a lessening of the required replacement reserves in succeeding decades.</w:t>
      </w:r>
    </w:p>
    <w:p w14:paraId="0E4E619E" w14:textId="77777777" w:rsidR="001829AC" w:rsidRPr="00A0305D" w:rsidRDefault="001829AC" w:rsidP="001829AC">
      <w:pPr>
        <w:spacing w:after="120"/>
        <w:rPr>
          <w:b/>
          <w:sz w:val="24"/>
          <w:szCs w:val="24"/>
        </w:rPr>
      </w:pPr>
      <w:r w:rsidRPr="00A0305D">
        <w:rPr>
          <w:b/>
          <w:sz w:val="24"/>
          <w:szCs w:val="24"/>
        </w:rPr>
        <w:t>Summary</w:t>
      </w:r>
      <w:r>
        <w:rPr>
          <w:b/>
          <w:sz w:val="24"/>
          <w:szCs w:val="24"/>
        </w:rPr>
        <w:t xml:space="preserve"> of Results</w:t>
      </w:r>
    </w:p>
    <w:p w14:paraId="700397CD" w14:textId="112C1F30" w:rsidR="001829AC" w:rsidRDefault="001829AC" w:rsidP="001829AC">
      <w:pPr>
        <w:spacing w:after="120"/>
        <w:rPr>
          <w:sz w:val="24"/>
          <w:szCs w:val="24"/>
        </w:rPr>
      </w:pPr>
      <w:r>
        <w:rPr>
          <w:sz w:val="24"/>
          <w:szCs w:val="24"/>
        </w:rPr>
        <w:t xml:space="preserve">The results shown </w:t>
      </w:r>
      <w:r w:rsidR="00673B29">
        <w:rPr>
          <w:sz w:val="24"/>
          <w:szCs w:val="24"/>
        </w:rPr>
        <w:t xml:space="preserve">largely </w:t>
      </w:r>
      <w:r>
        <w:rPr>
          <w:sz w:val="24"/>
          <w:szCs w:val="24"/>
        </w:rPr>
        <w:t>replicate the 20</w:t>
      </w:r>
      <w:r w:rsidR="004C4661">
        <w:rPr>
          <w:sz w:val="24"/>
          <w:szCs w:val="24"/>
        </w:rPr>
        <w:t>20</w:t>
      </w:r>
      <w:r>
        <w:rPr>
          <w:sz w:val="24"/>
          <w:szCs w:val="24"/>
        </w:rPr>
        <w:t xml:space="preserve"> Reserve Study performed for the Association. The study assume</w:t>
      </w:r>
      <w:r w:rsidR="00CA7CEE">
        <w:rPr>
          <w:sz w:val="24"/>
          <w:szCs w:val="24"/>
        </w:rPr>
        <w:t>d</w:t>
      </w:r>
      <w:r>
        <w:rPr>
          <w:sz w:val="24"/>
          <w:szCs w:val="24"/>
        </w:rPr>
        <w:t xml:space="preserve"> a long</w:t>
      </w:r>
      <w:r w:rsidR="00D71BE4">
        <w:rPr>
          <w:sz w:val="24"/>
          <w:szCs w:val="24"/>
        </w:rPr>
        <w:t>-</w:t>
      </w:r>
      <w:r>
        <w:rPr>
          <w:sz w:val="24"/>
          <w:szCs w:val="24"/>
        </w:rPr>
        <w:t xml:space="preserve">term average inflation rate of </w:t>
      </w:r>
      <w:r w:rsidR="004C4661">
        <w:rPr>
          <w:sz w:val="24"/>
          <w:szCs w:val="24"/>
        </w:rPr>
        <w:t>2</w:t>
      </w:r>
      <w:r>
        <w:rPr>
          <w:sz w:val="24"/>
          <w:szCs w:val="24"/>
        </w:rPr>
        <w:t>% and a long</w:t>
      </w:r>
      <w:r w:rsidR="00D71BE4">
        <w:rPr>
          <w:sz w:val="24"/>
          <w:szCs w:val="24"/>
        </w:rPr>
        <w:t>-</w:t>
      </w:r>
      <w:r>
        <w:rPr>
          <w:sz w:val="24"/>
          <w:szCs w:val="24"/>
        </w:rPr>
        <w:t xml:space="preserve">term average interest rate on replacement reserve funds also of </w:t>
      </w:r>
      <w:r w:rsidR="004C4661">
        <w:rPr>
          <w:sz w:val="24"/>
          <w:szCs w:val="24"/>
        </w:rPr>
        <w:t>2</w:t>
      </w:r>
      <w:r>
        <w:rPr>
          <w:sz w:val="24"/>
          <w:szCs w:val="24"/>
        </w:rPr>
        <w:t>%.  The study covers the period from 20</w:t>
      </w:r>
      <w:r w:rsidR="00673B29">
        <w:rPr>
          <w:sz w:val="24"/>
          <w:szCs w:val="24"/>
        </w:rPr>
        <w:t>2</w:t>
      </w:r>
      <w:r w:rsidR="004C4661">
        <w:rPr>
          <w:sz w:val="24"/>
          <w:szCs w:val="24"/>
        </w:rPr>
        <w:t>1</w:t>
      </w:r>
      <w:r>
        <w:rPr>
          <w:sz w:val="24"/>
          <w:szCs w:val="24"/>
        </w:rPr>
        <w:t xml:space="preserve"> through 20</w:t>
      </w:r>
      <w:r w:rsidR="00673B29">
        <w:rPr>
          <w:sz w:val="24"/>
          <w:szCs w:val="24"/>
        </w:rPr>
        <w:t>50</w:t>
      </w:r>
      <w:r>
        <w:rPr>
          <w:sz w:val="24"/>
          <w:szCs w:val="24"/>
        </w:rPr>
        <w:t xml:space="preserve">. </w:t>
      </w:r>
    </w:p>
    <w:p w14:paraId="54E39685" w14:textId="13B6F0D3" w:rsidR="001829AC" w:rsidRDefault="001829AC" w:rsidP="001829AC">
      <w:pPr>
        <w:spacing w:after="120"/>
        <w:rPr>
          <w:sz w:val="24"/>
          <w:szCs w:val="24"/>
        </w:rPr>
      </w:pPr>
      <w:r>
        <w:rPr>
          <w:sz w:val="24"/>
          <w:szCs w:val="24"/>
        </w:rPr>
        <w:lastRenderedPageBreak/>
        <w:t xml:space="preserve">As of </w:t>
      </w:r>
      <w:r w:rsidR="009A5B82">
        <w:rPr>
          <w:sz w:val="24"/>
          <w:szCs w:val="24"/>
        </w:rPr>
        <w:t>1</w:t>
      </w:r>
      <w:r>
        <w:rPr>
          <w:sz w:val="24"/>
          <w:szCs w:val="24"/>
        </w:rPr>
        <w:t>/</w:t>
      </w:r>
      <w:r w:rsidR="009A5B82">
        <w:rPr>
          <w:sz w:val="24"/>
          <w:szCs w:val="24"/>
        </w:rPr>
        <w:t>1</w:t>
      </w:r>
      <w:r>
        <w:rPr>
          <w:sz w:val="24"/>
          <w:szCs w:val="24"/>
        </w:rPr>
        <w:t>/20</w:t>
      </w:r>
      <w:r w:rsidR="00673B29">
        <w:rPr>
          <w:sz w:val="24"/>
          <w:szCs w:val="24"/>
        </w:rPr>
        <w:t>20</w:t>
      </w:r>
      <w:r>
        <w:rPr>
          <w:sz w:val="24"/>
          <w:szCs w:val="24"/>
        </w:rPr>
        <w:t>, the replacement reserve balance was $</w:t>
      </w:r>
      <w:r w:rsidR="00673B29">
        <w:rPr>
          <w:sz w:val="24"/>
          <w:szCs w:val="24"/>
        </w:rPr>
        <w:t>40,972</w:t>
      </w:r>
      <w:r>
        <w:rPr>
          <w:sz w:val="24"/>
          <w:szCs w:val="24"/>
        </w:rPr>
        <w:t>. Replacement Reserves would be fully funded at a level of $</w:t>
      </w:r>
      <w:r w:rsidR="00673B29">
        <w:rPr>
          <w:sz w:val="24"/>
          <w:szCs w:val="24"/>
        </w:rPr>
        <w:t>2</w:t>
      </w:r>
      <w:r w:rsidR="009A5B82">
        <w:rPr>
          <w:sz w:val="24"/>
          <w:szCs w:val="24"/>
        </w:rPr>
        <w:t>5.386</w:t>
      </w:r>
      <w:r>
        <w:rPr>
          <w:sz w:val="24"/>
          <w:szCs w:val="24"/>
        </w:rPr>
        <w:t>, resulting in a funding level of 1</w:t>
      </w:r>
      <w:r w:rsidR="009A5B82">
        <w:rPr>
          <w:sz w:val="24"/>
          <w:szCs w:val="24"/>
        </w:rPr>
        <w:t>65</w:t>
      </w:r>
      <w:r>
        <w:rPr>
          <w:sz w:val="24"/>
          <w:szCs w:val="24"/>
        </w:rPr>
        <w:t>%. With no additional funding, replacement reserves are projected to remain near or above full funding levels through 20</w:t>
      </w:r>
      <w:r w:rsidR="00D71BE4">
        <w:rPr>
          <w:sz w:val="24"/>
          <w:szCs w:val="24"/>
        </w:rPr>
        <w:t>3</w:t>
      </w:r>
      <w:r w:rsidR="009A5B82">
        <w:rPr>
          <w:sz w:val="24"/>
          <w:szCs w:val="24"/>
        </w:rPr>
        <w:t>4</w:t>
      </w:r>
      <w:r>
        <w:rPr>
          <w:sz w:val="24"/>
          <w:szCs w:val="24"/>
        </w:rPr>
        <w:t xml:space="preserve">, dropping </w:t>
      </w:r>
      <w:r w:rsidR="00D71BE4">
        <w:rPr>
          <w:sz w:val="24"/>
          <w:szCs w:val="24"/>
        </w:rPr>
        <w:t>below</w:t>
      </w:r>
      <w:r>
        <w:rPr>
          <w:sz w:val="24"/>
          <w:szCs w:val="24"/>
        </w:rPr>
        <w:t xml:space="preserve"> 0 in 204</w:t>
      </w:r>
      <w:r w:rsidR="009A5B82">
        <w:rPr>
          <w:sz w:val="24"/>
          <w:szCs w:val="24"/>
        </w:rPr>
        <w:t>5</w:t>
      </w:r>
      <w:r>
        <w:rPr>
          <w:sz w:val="24"/>
          <w:szCs w:val="24"/>
        </w:rPr>
        <w:t xml:space="preserve"> and becoming increasingly negative beyond that. Chart 1 below shows projected funding as a percent of full funding level for no additions and for </w:t>
      </w:r>
      <w:r w:rsidR="00D71BE4">
        <w:rPr>
          <w:sz w:val="24"/>
          <w:szCs w:val="24"/>
        </w:rPr>
        <w:t>the</w:t>
      </w:r>
      <w:r>
        <w:rPr>
          <w:sz w:val="24"/>
          <w:szCs w:val="24"/>
        </w:rPr>
        <w:t xml:space="preserve"> recommend</w:t>
      </w:r>
      <w:r w:rsidR="00D71BE4">
        <w:rPr>
          <w:sz w:val="24"/>
          <w:szCs w:val="24"/>
        </w:rPr>
        <w:t>ed</w:t>
      </w:r>
      <w:r>
        <w:rPr>
          <w:sz w:val="24"/>
          <w:szCs w:val="24"/>
        </w:rPr>
        <w:t xml:space="preserve"> </w:t>
      </w:r>
      <w:r w:rsidR="00D71BE4">
        <w:rPr>
          <w:sz w:val="24"/>
          <w:szCs w:val="24"/>
        </w:rPr>
        <w:t xml:space="preserve">alternative </w:t>
      </w:r>
      <w:r>
        <w:rPr>
          <w:sz w:val="24"/>
          <w:szCs w:val="24"/>
        </w:rPr>
        <w:t>for achieving a nominal 100% of full funding.</w:t>
      </w:r>
    </w:p>
    <w:p w14:paraId="3A1260AE" w14:textId="77777777" w:rsidR="001829AC" w:rsidRDefault="001829AC" w:rsidP="001829AC">
      <w:pPr>
        <w:spacing w:after="120"/>
        <w:rPr>
          <w:b/>
          <w:sz w:val="24"/>
          <w:szCs w:val="24"/>
        </w:rPr>
      </w:pPr>
      <w:r w:rsidRPr="007507F5">
        <w:rPr>
          <w:b/>
          <w:sz w:val="24"/>
          <w:szCs w:val="24"/>
        </w:rPr>
        <w:t>Recommendations</w:t>
      </w:r>
    </w:p>
    <w:p w14:paraId="6E13D06B" w14:textId="1F19FF6A" w:rsidR="001829AC" w:rsidRDefault="001829AC" w:rsidP="001829AC">
      <w:pPr>
        <w:spacing w:after="120"/>
        <w:rPr>
          <w:sz w:val="24"/>
          <w:szCs w:val="24"/>
        </w:rPr>
      </w:pPr>
      <w:r>
        <w:rPr>
          <w:sz w:val="24"/>
          <w:szCs w:val="24"/>
        </w:rPr>
        <w:t>The recommended approach is to add funds to the reserve account at the rate of $2,000/Year beginning in 20</w:t>
      </w:r>
      <w:r w:rsidR="00CA5491">
        <w:rPr>
          <w:sz w:val="24"/>
          <w:szCs w:val="24"/>
        </w:rPr>
        <w:t>35</w:t>
      </w:r>
      <w:r>
        <w:rPr>
          <w:sz w:val="24"/>
          <w:szCs w:val="24"/>
        </w:rPr>
        <w:t>, increasing to $</w:t>
      </w:r>
      <w:r w:rsidR="00CA5491">
        <w:rPr>
          <w:sz w:val="24"/>
          <w:szCs w:val="24"/>
        </w:rPr>
        <w:t>3</w:t>
      </w:r>
      <w:r>
        <w:rPr>
          <w:sz w:val="24"/>
          <w:szCs w:val="24"/>
        </w:rPr>
        <w:t>,</w:t>
      </w:r>
      <w:r w:rsidR="00CA5491">
        <w:rPr>
          <w:sz w:val="24"/>
          <w:szCs w:val="24"/>
        </w:rPr>
        <w:t>5</w:t>
      </w:r>
      <w:r>
        <w:rPr>
          <w:sz w:val="24"/>
          <w:szCs w:val="24"/>
        </w:rPr>
        <w:t>00/Year in 20</w:t>
      </w:r>
      <w:r w:rsidR="00D71BE4">
        <w:rPr>
          <w:sz w:val="24"/>
          <w:szCs w:val="24"/>
        </w:rPr>
        <w:t>4</w:t>
      </w:r>
      <w:r w:rsidR="00CA5491">
        <w:rPr>
          <w:sz w:val="24"/>
          <w:szCs w:val="24"/>
        </w:rPr>
        <w:t>6</w:t>
      </w:r>
      <w:r>
        <w:rPr>
          <w:sz w:val="24"/>
          <w:szCs w:val="24"/>
        </w:rPr>
        <w:t>. No addition to replacement reserves is recommended in the 20</w:t>
      </w:r>
      <w:r w:rsidR="00D71BE4">
        <w:rPr>
          <w:sz w:val="24"/>
          <w:szCs w:val="24"/>
        </w:rPr>
        <w:t>2</w:t>
      </w:r>
      <w:r w:rsidR="00CA5491">
        <w:rPr>
          <w:sz w:val="24"/>
          <w:szCs w:val="24"/>
        </w:rPr>
        <w:t xml:space="preserve">2 </w:t>
      </w:r>
      <w:r>
        <w:rPr>
          <w:sz w:val="24"/>
          <w:szCs w:val="24"/>
        </w:rPr>
        <w:t>budget.</w:t>
      </w:r>
      <w:r w:rsidRPr="00992730">
        <w:rPr>
          <w:sz w:val="24"/>
          <w:szCs w:val="24"/>
        </w:rPr>
        <w:t xml:space="preserve"> </w:t>
      </w:r>
    </w:p>
    <w:p w14:paraId="092F9794" w14:textId="663EABC8" w:rsidR="001829AC" w:rsidRDefault="00CA5491" w:rsidP="001829AC">
      <w:pPr>
        <w:spacing w:after="120"/>
        <w:rPr>
          <w:sz w:val="24"/>
          <w:szCs w:val="24"/>
        </w:rPr>
      </w:pPr>
      <w:r>
        <w:rPr>
          <w:noProof/>
        </w:rPr>
        <w:drawing>
          <wp:inline distT="0" distB="0" distL="0" distR="0" wp14:anchorId="0D510248" wp14:editId="4DB7C083">
            <wp:extent cx="5943600" cy="437566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4375667"/>
                    </a:xfrm>
                    <a:prstGeom prst="rect">
                      <a:avLst/>
                    </a:prstGeom>
                    <a:noFill/>
                  </pic:spPr>
                </pic:pic>
              </a:graphicData>
            </a:graphic>
          </wp:inline>
        </w:drawing>
      </w:r>
    </w:p>
    <w:p w14:paraId="01D6C23D" w14:textId="77777777" w:rsidR="001829AC" w:rsidRDefault="001829AC" w:rsidP="001829AC">
      <w:pPr>
        <w:spacing w:after="120"/>
        <w:jc w:val="center"/>
        <w:rPr>
          <w:b/>
          <w:sz w:val="20"/>
          <w:szCs w:val="20"/>
        </w:rPr>
      </w:pPr>
      <w:r w:rsidRPr="001131EF">
        <w:rPr>
          <w:b/>
          <w:sz w:val="20"/>
          <w:szCs w:val="20"/>
        </w:rPr>
        <w:t>Chart 1 Projected Replacement Reserve Funding Level</w:t>
      </w:r>
    </w:p>
    <w:p w14:paraId="168FD9EF" w14:textId="77777777" w:rsidR="009A5B82" w:rsidRDefault="00BC65C3">
      <w:pPr>
        <w:jc w:val="center"/>
      </w:pPr>
      <w:r>
        <w:br w:type="page"/>
      </w:r>
    </w:p>
    <w:tbl>
      <w:tblPr>
        <w:tblW w:w="10520" w:type="dxa"/>
        <w:tblLook w:val="04A0" w:firstRow="1" w:lastRow="0" w:firstColumn="1" w:lastColumn="0" w:noHBand="0" w:noVBand="1"/>
      </w:tblPr>
      <w:tblGrid>
        <w:gridCol w:w="2723"/>
        <w:gridCol w:w="1224"/>
        <w:gridCol w:w="868"/>
        <w:gridCol w:w="1187"/>
        <w:gridCol w:w="1651"/>
        <w:gridCol w:w="1475"/>
        <w:gridCol w:w="1431"/>
      </w:tblGrid>
      <w:tr w:rsidR="009A5B82" w:rsidRPr="009A5B82" w14:paraId="7F265FC6" w14:textId="77777777" w:rsidTr="009A5B82">
        <w:trPr>
          <w:trHeight w:val="645"/>
        </w:trPr>
        <w:tc>
          <w:tcPr>
            <w:tcW w:w="10520" w:type="dxa"/>
            <w:gridSpan w:val="7"/>
            <w:tcBorders>
              <w:top w:val="nil"/>
              <w:left w:val="nil"/>
              <w:bottom w:val="nil"/>
              <w:right w:val="nil"/>
            </w:tcBorders>
            <w:shd w:val="clear" w:color="auto" w:fill="auto"/>
            <w:noWrap/>
            <w:vAlign w:val="center"/>
            <w:hideMark/>
          </w:tcPr>
          <w:p w14:paraId="27A85089" w14:textId="77777777" w:rsidR="009A5B82" w:rsidRPr="009A5B82" w:rsidRDefault="009A5B82" w:rsidP="009A5B82">
            <w:pPr>
              <w:jc w:val="center"/>
              <w:rPr>
                <w:rFonts w:ascii="Calibri" w:eastAsia="Times New Roman" w:hAnsi="Calibri" w:cs="Calibri"/>
                <w:b/>
                <w:bCs/>
                <w:color w:val="000000"/>
                <w:sz w:val="36"/>
                <w:szCs w:val="36"/>
              </w:rPr>
            </w:pPr>
            <w:r w:rsidRPr="009A5B82">
              <w:rPr>
                <w:rFonts w:ascii="Calibri" w:eastAsia="Times New Roman" w:hAnsi="Calibri" w:cs="Calibri"/>
                <w:b/>
                <w:bCs/>
                <w:color w:val="000000"/>
                <w:sz w:val="36"/>
                <w:szCs w:val="36"/>
              </w:rPr>
              <w:lastRenderedPageBreak/>
              <w:t>Replaceable Assets</w:t>
            </w:r>
          </w:p>
        </w:tc>
      </w:tr>
      <w:tr w:rsidR="009A5B82" w:rsidRPr="009A5B82" w14:paraId="2D34B6E0" w14:textId="77777777" w:rsidTr="009A5B82">
        <w:trPr>
          <w:trHeight w:val="375"/>
        </w:trPr>
        <w:tc>
          <w:tcPr>
            <w:tcW w:w="2723" w:type="dxa"/>
            <w:tcBorders>
              <w:top w:val="nil"/>
              <w:left w:val="nil"/>
              <w:bottom w:val="nil"/>
              <w:right w:val="nil"/>
            </w:tcBorders>
            <w:shd w:val="clear" w:color="auto" w:fill="auto"/>
            <w:noWrap/>
            <w:vAlign w:val="center"/>
            <w:hideMark/>
          </w:tcPr>
          <w:p w14:paraId="7E351E1F" w14:textId="77777777" w:rsidR="009A5B82" w:rsidRPr="009A5B82" w:rsidRDefault="009A5B82" w:rsidP="009A5B82">
            <w:pPr>
              <w:jc w:val="right"/>
              <w:rPr>
                <w:rFonts w:ascii="Calibri" w:eastAsia="Times New Roman" w:hAnsi="Calibri" w:cs="Calibri"/>
                <w:b/>
                <w:bCs/>
                <w:color w:val="000000"/>
                <w:sz w:val="36"/>
                <w:szCs w:val="36"/>
              </w:rPr>
            </w:pPr>
            <w:r w:rsidRPr="009A5B82">
              <w:rPr>
                <w:rFonts w:ascii="Calibri" w:eastAsia="Times New Roman" w:hAnsi="Calibri" w:cs="Calibri"/>
                <w:b/>
                <w:bCs/>
                <w:color w:val="000000"/>
                <w:sz w:val="36"/>
                <w:szCs w:val="36"/>
              </w:rPr>
              <w:t>Current Year:</w:t>
            </w:r>
          </w:p>
        </w:tc>
        <w:tc>
          <w:tcPr>
            <w:tcW w:w="1224" w:type="dxa"/>
            <w:tcBorders>
              <w:top w:val="nil"/>
              <w:left w:val="nil"/>
              <w:bottom w:val="nil"/>
              <w:right w:val="nil"/>
            </w:tcBorders>
            <w:shd w:val="clear" w:color="auto" w:fill="auto"/>
            <w:noWrap/>
            <w:vAlign w:val="center"/>
            <w:hideMark/>
          </w:tcPr>
          <w:p w14:paraId="56D17A61" w14:textId="77777777" w:rsidR="009A5B82" w:rsidRPr="009A5B82" w:rsidRDefault="009A5B82" w:rsidP="009A5B82">
            <w:pPr>
              <w:jc w:val="center"/>
              <w:rPr>
                <w:rFonts w:ascii="Calibri" w:eastAsia="Times New Roman" w:hAnsi="Calibri" w:cs="Calibri"/>
                <w:b/>
                <w:bCs/>
                <w:color w:val="000000"/>
                <w:sz w:val="36"/>
                <w:szCs w:val="36"/>
              </w:rPr>
            </w:pPr>
            <w:r w:rsidRPr="009A5B82">
              <w:rPr>
                <w:rFonts w:ascii="Calibri" w:eastAsia="Times New Roman" w:hAnsi="Calibri" w:cs="Calibri"/>
                <w:b/>
                <w:bCs/>
                <w:color w:val="000000"/>
                <w:sz w:val="36"/>
                <w:szCs w:val="36"/>
              </w:rPr>
              <w:t>2021</w:t>
            </w:r>
          </w:p>
        </w:tc>
        <w:tc>
          <w:tcPr>
            <w:tcW w:w="868" w:type="dxa"/>
            <w:tcBorders>
              <w:top w:val="nil"/>
              <w:left w:val="nil"/>
              <w:bottom w:val="nil"/>
              <w:right w:val="nil"/>
            </w:tcBorders>
            <w:shd w:val="clear" w:color="auto" w:fill="auto"/>
            <w:noWrap/>
            <w:vAlign w:val="center"/>
            <w:hideMark/>
          </w:tcPr>
          <w:p w14:paraId="3D50C377" w14:textId="77777777" w:rsidR="009A5B82" w:rsidRPr="009A5B82" w:rsidRDefault="009A5B82" w:rsidP="009A5B82">
            <w:pPr>
              <w:jc w:val="center"/>
              <w:rPr>
                <w:rFonts w:ascii="Calibri" w:eastAsia="Times New Roman" w:hAnsi="Calibri" w:cs="Calibri"/>
                <w:b/>
                <w:bCs/>
                <w:color w:val="000000"/>
                <w:sz w:val="36"/>
                <w:szCs w:val="36"/>
              </w:rPr>
            </w:pPr>
          </w:p>
        </w:tc>
        <w:tc>
          <w:tcPr>
            <w:tcW w:w="2799" w:type="dxa"/>
            <w:gridSpan w:val="2"/>
            <w:tcBorders>
              <w:top w:val="nil"/>
              <w:left w:val="nil"/>
              <w:bottom w:val="nil"/>
              <w:right w:val="nil"/>
            </w:tcBorders>
            <w:shd w:val="clear" w:color="auto" w:fill="auto"/>
            <w:noWrap/>
            <w:vAlign w:val="center"/>
            <w:hideMark/>
          </w:tcPr>
          <w:p w14:paraId="5E67791B" w14:textId="77777777" w:rsidR="009A5B82" w:rsidRPr="009A5B82" w:rsidRDefault="009A5B82" w:rsidP="009A5B82">
            <w:pPr>
              <w:jc w:val="right"/>
              <w:rPr>
                <w:rFonts w:ascii="Calibri" w:eastAsia="Times New Roman" w:hAnsi="Calibri" w:cs="Calibri"/>
                <w:b/>
                <w:bCs/>
                <w:color w:val="000000"/>
                <w:sz w:val="36"/>
                <w:szCs w:val="36"/>
              </w:rPr>
            </w:pPr>
            <w:r w:rsidRPr="009A5B82">
              <w:rPr>
                <w:rFonts w:ascii="Calibri" w:eastAsia="Times New Roman" w:hAnsi="Calibri" w:cs="Calibri"/>
                <w:b/>
                <w:bCs/>
                <w:color w:val="000000"/>
                <w:sz w:val="36"/>
                <w:szCs w:val="36"/>
              </w:rPr>
              <w:t>Interest Rate:</w:t>
            </w:r>
          </w:p>
        </w:tc>
        <w:tc>
          <w:tcPr>
            <w:tcW w:w="1475" w:type="dxa"/>
            <w:tcBorders>
              <w:top w:val="nil"/>
              <w:left w:val="nil"/>
              <w:bottom w:val="nil"/>
              <w:right w:val="nil"/>
            </w:tcBorders>
            <w:shd w:val="clear" w:color="auto" w:fill="auto"/>
            <w:noWrap/>
            <w:vAlign w:val="center"/>
            <w:hideMark/>
          </w:tcPr>
          <w:p w14:paraId="429DE896" w14:textId="77777777" w:rsidR="009A5B82" w:rsidRPr="009A5B82" w:rsidRDefault="009A5B82" w:rsidP="009A5B82">
            <w:pPr>
              <w:jc w:val="center"/>
              <w:rPr>
                <w:rFonts w:ascii="Calibri" w:eastAsia="Times New Roman" w:hAnsi="Calibri" w:cs="Calibri"/>
                <w:b/>
                <w:bCs/>
                <w:color w:val="000000"/>
                <w:sz w:val="36"/>
                <w:szCs w:val="36"/>
              </w:rPr>
            </w:pPr>
            <w:r w:rsidRPr="009A5B82">
              <w:rPr>
                <w:rFonts w:ascii="Calibri" w:eastAsia="Times New Roman" w:hAnsi="Calibri" w:cs="Calibri"/>
                <w:b/>
                <w:bCs/>
                <w:color w:val="000000"/>
                <w:sz w:val="36"/>
                <w:szCs w:val="36"/>
              </w:rPr>
              <w:t>2%</w:t>
            </w:r>
          </w:p>
        </w:tc>
        <w:tc>
          <w:tcPr>
            <w:tcW w:w="1431" w:type="dxa"/>
            <w:tcBorders>
              <w:top w:val="nil"/>
              <w:left w:val="nil"/>
              <w:bottom w:val="nil"/>
              <w:right w:val="nil"/>
            </w:tcBorders>
            <w:shd w:val="clear" w:color="auto" w:fill="auto"/>
            <w:noWrap/>
            <w:vAlign w:val="center"/>
            <w:hideMark/>
          </w:tcPr>
          <w:p w14:paraId="3EF08BEC" w14:textId="77777777" w:rsidR="009A5B82" w:rsidRPr="009A5B82" w:rsidRDefault="009A5B82" w:rsidP="009A5B82">
            <w:pPr>
              <w:jc w:val="center"/>
              <w:rPr>
                <w:rFonts w:ascii="Calibri" w:eastAsia="Times New Roman" w:hAnsi="Calibri" w:cs="Calibri"/>
                <w:b/>
                <w:bCs/>
                <w:color w:val="000000"/>
                <w:sz w:val="36"/>
                <w:szCs w:val="36"/>
              </w:rPr>
            </w:pPr>
          </w:p>
        </w:tc>
      </w:tr>
      <w:tr w:rsidR="009A5B82" w:rsidRPr="009A5B82" w14:paraId="7DCF15EF" w14:textId="77777777" w:rsidTr="009A5B82">
        <w:trPr>
          <w:trHeight w:val="555"/>
        </w:trPr>
        <w:tc>
          <w:tcPr>
            <w:tcW w:w="272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58768E" w14:textId="77777777" w:rsidR="009A5B82" w:rsidRPr="009A5B82" w:rsidRDefault="009A5B82" w:rsidP="009A5B82">
            <w:pPr>
              <w:jc w:val="center"/>
              <w:rPr>
                <w:rFonts w:ascii="Calibri" w:eastAsia="Times New Roman" w:hAnsi="Calibri" w:cs="Calibri"/>
                <w:b/>
                <w:bCs/>
                <w:color w:val="000000"/>
              </w:rPr>
            </w:pPr>
            <w:r w:rsidRPr="009A5B82">
              <w:rPr>
                <w:rFonts w:ascii="Calibri" w:eastAsia="Times New Roman" w:hAnsi="Calibri" w:cs="Calibri"/>
                <w:b/>
                <w:bCs/>
                <w:color w:val="000000"/>
              </w:rPr>
              <w:t>Asset</w:t>
            </w:r>
          </w:p>
        </w:tc>
        <w:tc>
          <w:tcPr>
            <w:tcW w:w="1224" w:type="dxa"/>
            <w:tcBorders>
              <w:top w:val="single" w:sz="8" w:space="0" w:color="auto"/>
              <w:left w:val="nil"/>
              <w:bottom w:val="single" w:sz="4" w:space="0" w:color="auto"/>
              <w:right w:val="single" w:sz="4" w:space="0" w:color="auto"/>
            </w:tcBorders>
            <w:shd w:val="clear" w:color="auto" w:fill="auto"/>
            <w:vAlign w:val="center"/>
            <w:hideMark/>
          </w:tcPr>
          <w:p w14:paraId="0EC914DC" w14:textId="77777777" w:rsidR="009A5B82" w:rsidRPr="009A5B82" w:rsidRDefault="009A5B82" w:rsidP="009A5B82">
            <w:pPr>
              <w:jc w:val="center"/>
              <w:rPr>
                <w:rFonts w:ascii="Calibri" w:eastAsia="Times New Roman" w:hAnsi="Calibri" w:cs="Calibri"/>
                <w:b/>
                <w:bCs/>
                <w:color w:val="000000"/>
              </w:rPr>
            </w:pPr>
            <w:r w:rsidRPr="009A5B82">
              <w:rPr>
                <w:rFonts w:ascii="Calibri" w:eastAsia="Times New Roman" w:hAnsi="Calibri" w:cs="Calibri"/>
                <w:b/>
                <w:bCs/>
                <w:color w:val="000000"/>
              </w:rPr>
              <w:t>Purchased Year</w:t>
            </w:r>
          </w:p>
        </w:tc>
        <w:tc>
          <w:tcPr>
            <w:tcW w:w="868" w:type="dxa"/>
            <w:tcBorders>
              <w:top w:val="single" w:sz="8" w:space="0" w:color="auto"/>
              <w:left w:val="nil"/>
              <w:bottom w:val="single" w:sz="4" w:space="0" w:color="auto"/>
              <w:right w:val="single" w:sz="4" w:space="0" w:color="auto"/>
            </w:tcBorders>
            <w:shd w:val="clear" w:color="auto" w:fill="auto"/>
            <w:vAlign w:val="center"/>
            <w:hideMark/>
          </w:tcPr>
          <w:p w14:paraId="5331E548" w14:textId="77777777" w:rsidR="009A5B82" w:rsidRPr="009A5B82" w:rsidRDefault="009A5B82" w:rsidP="009A5B82">
            <w:pPr>
              <w:jc w:val="center"/>
              <w:rPr>
                <w:rFonts w:ascii="Calibri" w:eastAsia="Times New Roman" w:hAnsi="Calibri" w:cs="Calibri"/>
                <w:b/>
                <w:bCs/>
                <w:color w:val="000000"/>
              </w:rPr>
            </w:pPr>
            <w:r w:rsidRPr="009A5B82">
              <w:rPr>
                <w:rFonts w:ascii="Calibri" w:eastAsia="Times New Roman" w:hAnsi="Calibri" w:cs="Calibri"/>
                <w:b/>
                <w:bCs/>
                <w:color w:val="000000"/>
              </w:rPr>
              <w:t>Useful Life (Yrs)</w:t>
            </w:r>
          </w:p>
        </w:tc>
        <w:tc>
          <w:tcPr>
            <w:tcW w:w="1148" w:type="dxa"/>
            <w:tcBorders>
              <w:top w:val="single" w:sz="8" w:space="0" w:color="auto"/>
              <w:left w:val="nil"/>
              <w:bottom w:val="single" w:sz="4" w:space="0" w:color="auto"/>
              <w:right w:val="single" w:sz="4" w:space="0" w:color="auto"/>
            </w:tcBorders>
            <w:shd w:val="clear" w:color="auto" w:fill="auto"/>
            <w:vAlign w:val="center"/>
            <w:hideMark/>
          </w:tcPr>
          <w:p w14:paraId="3C35DF30" w14:textId="77777777" w:rsidR="009A5B82" w:rsidRPr="009A5B82" w:rsidRDefault="009A5B82" w:rsidP="009A5B82">
            <w:pPr>
              <w:jc w:val="center"/>
              <w:rPr>
                <w:rFonts w:ascii="Calibri" w:eastAsia="Times New Roman" w:hAnsi="Calibri" w:cs="Calibri"/>
                <w:b/>
                <w:bCs/>
                <w:color w:val="000000"/>
              </w:rPr>
            </w:pPr>
            <w:r w:rsidRPr="009A5B82">
              <w:rPr>
                <w:rFonts w:ascii="Calibri" w:eastAsia="Times New Roman" w:hAnsi="Calibri" w:cs="Calibri"/>
                <w:b/>
                <w:bCs/>
                <w:color w:val="000000"/>
              </w:rPr>
              <w:t>Remaining Life</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14:paraId="79BFFAB8" w14:textId="77777777" w:rsidR="009A5B82" w:rsidRPr="009A5B82" w:rsidRDefault="009A5B82" w:rsidP="009A5B82">
            <w:pPr>
              <w:jc w:val="center"/>
              <w:rPr>
                <w:rFonts w:ascii="Calibri" w:eastAsia="Times New Roman" w:hAnsi="Calibri" w:cs="Calibri"/>
                <w:b/>
                <w:bCs/>
                <w:color w:val="000000"/>
              </w:rPr>
            </w:pPr>
            <w:r w:rsidRPr="009A5B82">
              <w:rPr>
                <w:rFonts w:ascii="Calibri" w:eastAsia="Times New Roman" w:hAnsi="Calibri" w:cs="Calibri"/>
                <w:b/>
                <w:bCs/>
                <w:color w:val="000000"/>
              </w:rPr>
              <w:t>2021 Replacement Cost</w:t>
            </w:r>
          </w:p>
        </w:tc>
        <w:tc>
          <w:tcPr>
            <w:tcW w:w="1475" w:type="dxa"/>
            <w:tcBorders>
              <w:top w:val="single" w:sz="8" w:space="0" w:color="auto"/>
              <w:left w:val="nil"/>
              <w:bottom w:val="single" w:sz="4" w:space="0" w:color="auto"/>
              <w:right w:val="single" w:sz="4" w:space="0" w:color="auto"/>
            </w:tcBorders>
            <w:shd w:val="clear" w:color="auto" w:fill="auto"/>
            <w:vAlign w:val="center"/>
            <w:hideMark/>
          </w:tcPr>
          <w:p w14:paraId="55024D38" w14:textId="77777777" w:rsidR="009A5B82" w:rsidRPr="009A5B82" w:rsidRDefault="009A5B82" w:rsidP="009A5B82">
            <w:pPr>
              <w:jc w:val="center"/>
              <w:rPr>
                <w:rFonts w:ascii="Calibri" w:eastAsia="Times New Roman" w:hAnsi="Calibri" w:cs="Calibri"/>
                <w:b/>
                <w:bCs/>
                <w:color w:val="000000"/>
              </w:rPr>
            </w:pPr>
            <w:r w:rsidRPr="009A5B82">
              <w:rPr>
                <w:rFonts w:ascii="Calibri" w:eastAsia="Times New Roman" w:hAnsi="Calibri" w:cs="Calibri"/>
                <w:b/>
                <w:bCs/>
                <w:color w:val="000000"/>
              </w:rPr>
              <w:t>Replacement Year</w:t>
            </w:r>
          </w:p>
        </w:tc>
        <w:tc>
          <w:tcPr>
            <w:tcW w:w="1431" w:type="dxa"/>
            <w:tcBorders>
              <w:top w:val="single" w:sz="8" w:space="0" w:color="auto"/>
              <w:left w:val="nil"/>
              <w:bottom w:val="single" w:sz="4" w:space="0" w:color="auto"/>
              <w:right w:val="single" w:sz="4" w:space="0" w:color="auto"/>
            </w:tcBorders>
            <w:shd w:val="clear" w:color="auto" w:fill="auto"/>
            <w:vAlign w:val="center"/>
            <w:hideMark/>
          </w:tcPr>
          <w:p w14:paraId="5459383B" w14:textId="77777777" w:rsidR="009A5B82" w:rsidRPr="009A5B82" w:rsidRDefault="009A5B82" w:rsidP="009A5B82">
            <w:pPr>
              <w:jc w:val="center"/>
              <w:rPr>
                <w:rFonts w:ascii="Calibri" w:eastAsia="Times New Roman" w:hAnsi="Calibri" w:cs="Calibri"/>
                <w:b/>
                <w:bCs/>
                <w:color w:val="000000"/>
              </w:rPr>
            </w:pPr>
            <w:r w:rsidRPr="009A5B82">
              <w:rPr>
                <w:rFonts w:ascii="Calibri" w:eastAsia="Times New Roman" w:hAnsi="Calibri" w:cs="Calibri"/>
                <w:b/>
                <w:bCs/>
                <w:color w:val="000000"/>
              </w:rPr>
              <w:t>Replacement Cost</w:t>
            </w:r>
          </w:p>
        </w:tc>
      </w:tr>
      <w:tr w:rsidR="009A5B82" w:rsidRPr="009A5B82" w14:paraId="00D11D70"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0C895E40"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Stone Base for SBV sign</w:t>
            </w:r>
          </w:p>
        </w:tc>
        <w:tc>
          <w:tcPr>
            <w:tcW w:w="1224" w:type="dxa"/>
            <w:tcBorders>
              <w:top w:val="nil"/>
              <w:left w:val="nil"/>
              <w:bottom w:val="single" w:sz="4" w:space="0" w:color="auto"/>
              <w:right w:val="single" w:sz="4" w:space="0" w:color="auto"/>
            </w:tcBorders>
            <w:shd w:val="clear" w:color="auto" w:fill="auto"/>
            <w:noWrap/>
            <w:vAlign w:val="bottom"/>
            <w:hideMark/>
          </w:tcPr>
          <w:p w14:paraId="0CF16A6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1985</w:t>
            </w:r>
          </w:p>
        </w:tc>
        <w:tc>
          <w:tcPr>
            <w:tcW w:w="868" w:type="dxa"/>
            <w:tcBorders>
              <w:top w:val="nil"/>
              <w:left w:val="nil"/>
              <w:bottom w:val="single" w:sz="4" w:space="0" w:color="auto"/>
              <w:right w:val="single" w:sz="4" w:space="0" w:color="auto"/>
            </w:tcBorders>
            <w:shd w:val="clear" w:color="auto" w:fill="auto"/>
            <w:noWrap/>
            <w:vAlign w:val="bottom"/>
            <w:hideMark/>
          </w:tcPr>
          <w:p w14:paraId="248CEC1C"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50</w:t>
            </w:r>
          </w:p>
        </w:tc>
        <w:tc>
          <w:tcPr>
            <w:tcW w:w="1148" w:type="dxa"/>
            <w:tcBorders>
              <w:top w:val="nil"/>
              <w:left w:val="nil"/>
              <w:bottom w:val="single" w:sz="4" w:space="0" w:color="auto"/>
              <w:right w:val="single" w:sz="4" w:space="0" w:color="auto"/>
            </w:tcBorders>
            <w:shd w:val="clear" w:color="auto" w:fill="auto"/>
            <w:noWrap/>
            <w:vAlign w:val="bottom"/>
            <w:hideMark/>
          </w:tcPr>
          <w:p w14:paraId="4D4AA219"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14</w:t>
            </w:r>
          </w:p>
        </w:tc>
        <w:tc>
          <w:tcPr>
            <w:tcW w:w="1651" w:type="dxa"/>
            <w:tcBorders>
              <w:top w:val="nil"/>
              <w:left w:val="nil"/>
              <w:bottom w:val="single" w:sz="4" w:space="0" w:color="auto"/>
              <w:right w:val="single" w:sz="4" w:space="0" w:color="auto"/>
            </w:tcBorders>
            <w:shd w:val="clear" w:color="auto" w:fill="auto"/>
            <w:noWrap/>
            <w:vAlign w:val="bottom"/>
            <w:hideMark/>
          </w:tcPr>
          <w:p w14:paraId="43396E33"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5000</w:t>
            </w:r>
          </w:p>
        </w:tc>
        <w:tc>
          <w:tcPr>
            <w:tcW w:w="1475" w:type="dxa"/>
            <w:tcBorders>
              <w:top w:val="nil"/>
              <w:left w:val="nil"/>
              <w:bottom w:val="single" w:sz="4" w:space="0" w:color="auto"/>
              <w:right w:val="single" w:sz="4" w:space="0" w:color="auto"/>
            </w:tcBorders>
            <w:shd w:val="clear" w:color="auto" w:fill="auto"/>
            <w:noWrap/>
            <w:vAlign w:val="bottom"/>
            <w:hideMark/>
          </w:tcPr>
          <w:p w14:paraId="0D45818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2035</w:t>
            </w:r>
          </w:p>
        </w:tc>
        <w:tc>
          <w:tcPr>
            <w:tcW w:w="1431" w:type="dxa"/>
            <w:tcBorders>
              <w:top w:val="nil"/>
              <w:left w:val="nil"/>
              <w:bottom w:val="single" w:sz="4" w:space="0" w:color="auto"/>
              <w:right w:val="single" w:sz="4" w:space="0" w:color="auto"/>
            </w:tcBorders>
            <w:shd w:val="clear" w:color="auto" w:fill="auto"/>
            <w:noWrap/>
            <w:vAlign w:val="bottom"/>
            <w:hideMark/>
          </w:tcPr>
          <w:p w14:paraId="3E87F50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6597</w:t>
            </w:r>
          </w:p>
        </w:tc>
      </w:tr>
      <w:tr w:rsidR="009A5B82" w:rsidRPr="009A5B82" w14:paraId="473BC1F0"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7163151F"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Stone Base for SBV sign</w:t>
            </w:r>
          </w:p>
        </w:tc>
        <w:tc>
          <w:tcPr>
            <w:tcW w:w="1224" w:type="dxa"/>
            <w:tcBorders>
              <w:top w:val="nil"/>
              <w:left w:val="nil"/>
              <w:bottom w:val="single" w:sz="4" w:space="0" w:color="auto"/>
              <w:right w:val="single" w:sz="4" w:space="0" w:color="auto"/>
            </w:tcBorders>
            <w:shd w:val="clear" w:color="auto" w:fill="auto"/>
            <w:noWrap/>
            <w:vAlign w:val="bottom"/>
            <w:hideMark/>
          </w:tcPr>
          <w:p w14:paraId="012E3263"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1994</w:t>
            </w:r>
          </w:p>
        </w:tc>
        <w:tc>
          <w:tcPr>
            <w:tcW w:w="868" w:type="dxa"/>
            <w:tcBorders>
              <w:top w:val="nil"/>
              <w:left w:val="nil"/>
              <w:bottom w:val="single" w:sz="4" w:space="0" w:color="auto"/>
              <w:right w:val="single" w:sz="4" w:space="0" w:color="auto"/>
            </w:tcBorders>
            <w:shd w:val="clear" w:color="auto" w:fill="auto"/>
            <w:noWrap/>
            <w:vAlign w:val="bottom"/>
            <w:hideMark/>
          </w:tcPr>
          <w:p w14:paraId="644FC32C"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50</w:t>
            </w:r>
          </w:p>
        </w:tc>
        <w:tc>
          <w:tcPr>
            <w:tcW w:w="1148" w:type="dxa"/>
            <w:tcBorders>
              <w:top w:val="nil"/>
              <w:left w:val="nil"/>
              <w:bottom w:val="single" w:sz="4" w:space="0" w:color="auto"/>
              <w:right w:val="single" w:sz="4" w:space="0" w:color="auto"/>
            </w:tcBorders>
            <w:shd w:val="clear" w:color="auto" w:fill="auto"/>
            <w:noWrap/>
            <w:vAlign w:val="bottom"/>
            <w:hideMark/>
          </w:tcPr>
          <w:p w14:paraId="62FF6C90"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23</w:t>
            </w:r>
          </w:p>
        </w:tc>
        <w:tc>
          <w:tcPr>
            <w:tcW w:w="1651" w:type="dxa"/>
            <w:tcBorders>
              <w:top w:val="nil"/>
              <w:left w:val="nil"/>
              <w:bottom w:val="single" w:sz="4" w:space="0" w:color="auto"/>
              <w:right w:val="single" w:sz="4" w:space="0" w:color="auto"/>
            </w:tcBorders>
            <w:shd w:val="clear" w:color="auto" w:fill="auto"/>
            <w:noWrap/>
            <w:vAlign w:val="bottom"/>
            <w:hideMark/>
          </w:tcPr>
          <w:p w14:paraId="7BF4C619"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5000</w:t>
            </w:r>
          </w:p>
        </w:tc>
        <w:tc>
          <w:tcPr>
            <w:tcW w:w="1475" w:type="dxa"/>
            <w:tcBorders>
              <w:top w:val="nil"/>
              <w:left w:val="nil"/>
              <w:bottom w:val="single" w:sz="4" w:space="0" w:color="auto"/>
              <w:right w:val="single" w:sz="4" w:space="0" w:color="auto"/>
            </w:tcBorders>
            <w:shd w:val="clear" w:color="auto" w:fill="auto"/>
            <w:noWrap/>
            <w:vAlign w:val="bottom"/>
            <w:hideMark/>
          </w:tcPr>
          <w:p w14:paraId="78609B99"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2044</w:t>
            </w:r>
          </w:p>
        </w:tc>
        <w:tc>
          <w:tcPr>
            <w:tcW w:w="1431" w:type="dxa"/>
            <w:tcBorders>
              <w:top w:val="nil"/>
              <w:left w:val="nil"/>
              <w:bottom w:val="single" w:sz="4" w:space="0" w:color="auto"/>
              <w:right w:val="single" w:sz="4" w:space="0" w:color="auto"/>
            </w:tcBorders>
            <w:shd w:val="clear" w:color="auto" w:fill="auto"/>
            <w:noWrap/>
            <w:vAlign w:val="bottom"/>
            <w:hideMark/>
          </w:tcPr>
          <w:p w14:paraId="2D3E39CA"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7884</w:t>
            </w:r>
          </w:p>
        </w:tc>
      </w:tr>
      <w:tr w:rsidR="009A5B82" w:rsidRPr="009A5B82" w14:paraId="2C042D79"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5A8BFFEF"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Stone Base for SBV sign</w:t>
            </w:r>
          </w:p>
        </w:tc>
        <w:tc>
          <w:tcPr>
            <w:tcW w:w="1224" w:type="dxa"/>
            <w:tcBorders>
              <w:top w:val="nil"/>
              <w:left w:val="nil"/>
              <w:bottom w:val="single" w:sz="4" w:space="0" w:color="auto"/>
              <w:right w:val="single" w:sz="4" w:space="0" w:color="auto"/>
            </w:tcBorders>
            <w:shd w:val="clear" w:color="auto" w:fill="auto"/>
            <w:noWrap/>
            <w:vAlign w:val="bottom"/>
            <w:hideMark/>
          </w:tcPr>
          <w:p w14:paraId="47E6554E"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1997</w:t>
            </w:r>
          </w:p>
        </w:tc>
        <w:tc>
          <w:tcPr>
            <w:tcW w:w="868" w:type="dxa"/>
            <w:tcBorders>
              <w:top w:val="nil"/>
              <w:left w:val="nil"/>
              <w:bottom w:val="single" w:sz="4" w:space="0" w:color="auto"/>
              <w:right w:val="single" w:sz="4" w:space="0" w:color="auto"/>
            </w:tcBorders>
            <w:shd w:val="clear" w:color="auto" w:fill="auto"/>
            <w:noWrap/>
            <w:vAlign w:val="bottom"/>
            <w:hideMark/>
          </w:tcPr>
          <w:p w14:paraId="6A63773C"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50</w:t>
            </w:r>
          </w:p>
        </w:tc>
        <w:tc>
          <w:tcPr>
            <w:tcW w:w="1148" w:type="dxa"/>
            <w:tcBorders>
              <w:top w:val="nil"/>
              <w:left w:val="nil"/>
              <w:bottom w:val="single" w:sz="4" w:space="0" w:color="auto"/>
              <w:right w:val="single" w:sz="4" w:space="0" w:color="auto"/>
            </w:tcBorders>
            <w:shd w:val="clear" w:color="auto" w:fill="auto"/>
            <w:noWrap/>
            <w:vAlign w:val="bottom"/>
            <w:hideMark/>
          </w:tcPr>
          <w:p w14:paraId="04E23A34"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26</w:t>
            </w:r>
          </w:p>
        </w:tc>
        <w:tc>
          <w:tcPr>
            <w:tcW w:w="1651" w:type="dxa"/>
            <w:tcBorders>
              <w:top w:val="nil"/>
              <w:left w:val="nil"/>
              <w:bottom w:val="single" w:sz="4" w:space="0" w:color="auto"/>
              <w:right w:val="single" w:sz="4" w:space="0" w:color="auto"/>
            </w:tcBorders>
            <w:shd w:val="clear" w:color="auto" w:fill="auto"/>
            <w:noWrap/>
            <w:vAlign w:val="bottom"/>
            <w:hideMark/>
          </w:tcPr>
          <w:p w14:paraId="75DF849A"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5000</w:t>
            </w:r>
          </w:p>
        </w:tc>
        <w:tc>
          <w:tcPr>
            <w:tcW w:w="1475" w:type="dxa"/>
            <w:tcBorders>
              <w:top w:val="nil"/>
              <w:left w:val="nil"/>
              <w:bottom w:val="single" w:sz="4" w:space="0" w:color="auto"/>
              <w:right w:val="single" w:sz="4" w:space="0" w:color="auto"/>
            </w:tcBorders>
            <w:shd w:val="clear" w:color="auto" w:fill="auto"/>
            <w:noWrap/>
            <w:vAlign w:val="bottom"/>
            <w:hideMark/>
          </w:tcPr>
          <w:p w14:paraId="1AEEEC21"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2047</w:t>
            </w:r>
          </w:p>
        </w:tc>
        <w:tc>
          <w:tcPr>
            <w:tcW w:w="1431" w:type="dxa"/>
            <w:tcBorders>
              <w:top w:val="nil"/>
              <w:left w:val="nil"/>
              <w:bottom w:val="single" w:sz="4" w:space="0" w:color="auto"/>
              <w:right w:val="single" w:sz="4" w:space="0" w:color="auto"/>
            </w:tcBorders>
            <w:shd w:val="clear" w:color="auto" w:fill="auto"/>
            <w:noWrap/>
            <w:vAlign w:val="bottom"/>
            <w:hideMark/>
          </w:tcPr>
          <w:p w14:paraId="5AE55BEB"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8367</w:t>
            </w:r>
          </w:p>
        </w:tc>
      </w:tr>
      <w:tr w:rsidR="009A5B82" w:rsidRPr="009A5B82" w14:paraId="1B17E27F"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37515266"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Bulletin Board</w:t>
            </w:r>
          </w:p>
        </w:tc>
        <w:tc>
          <w:tcPr>
            <w:tcW w:w="1224" w:type="dxa"/>
            <w:tcBorders>
              <w:top w:val="nil"/>
              <w:left w:val="nil"/>
              <w:bottom w:val="single" w:sz="4" w:space="0" w:color="auto"/>
              <w:right w:val="single" w:sz="4" w:space="0" w:color="auto"/>
            </w:tcBorders>
            <w:shd w:val="clear" w:color="auto" w:fill="auto"/>
            <w:noWrap/>
            <w:vAlign w:val="bottom"/>
            <w:hideMark/>
          </w:tcPr>
          <w:p w14:paraId="45D2EBEB"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2015</w:t>
            </w:r>
          </w:p>
        </w:tc>
        <w:tc>
          <w:tcPr>
            <w:tcW w:w="868" w:type="dxa"/>
            <w:tcBorders>
              <w:top w:val="nil"/>
              <w:left w:val="nil"/>
              <w:bottom w:val="single" w:sz="4" w:space="0" w:color="auto"/>
              <w:right w:val="single" w:sz="4" w:space="0" w:color="auto"/>
            </w:tcBorders>
            <w:shd w:val="clear" w:color="auto" w:fill="auto"/>
            <w:noWrap/>
            <w:vAlign w:val="bottom"/>
            <w:hideMark/>
          </w:tcPr>
          <w:p w14:paraId="47B1808B"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w:t>
            </w:r>
          </w:p>
        </w:tc>
        <w:tc>
          <w:tcPr>
            <w:tcW w:w="1148" w:type="dxa"/>
            <w:tcBorders>
              <w:top w:val="nil"/>
              <w:left w:val="nil"/>
              <w:bottom w:val="single" w:sz="4" w:space="0" w:color="auto"/>
              <w:right w:val="single" w:sz="4" w:space="0" w:color="auto"/>
            </w:tcBorders>
            <w:shd w:val="clear" w:color="auto" w:fill="auto"/>
            <w:noWrap/>
            <w:vAlign w:val="bottom"/>
            <w:hideMark/>
          </w:tcPr>
          <w:p w14:paraId="7F9D3D1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14</w:t>
            </w:r>
          </w:p>
        </w:tc>
        <w:tc>
          <w:tcPr>
            <w:tcW w:w="1651" w:type="dxa"/>
            <w:tcBorders>
              <w:top w:val="nil"/>
              <w:left w:val="nil"/>
              <w:bottom w:val="single" w:sz="4" w:space="0" w:color="auto"/>
              <w:right w:val="single" w:sz="4" w:space="0" w:color="auto"/>
            </w:tcBorders>
            <w:shd w:val="clear" w:color="auto" w:fill="auto"/>
            <w:noWrap/>
            <w:vAlign w:val="bottom"/>
            <w:hideMark/>
          </w:tcPr>
          <w:p w14:paraId="4E3DB170"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400</w:t>
            </w:r>
          </w:p>
        </w:tc>
        <w:tc>
          <w:tcPr>
            <w:tcW w:w="1475" w:type="dxa"/>
            <w:tcBorders>
              <w:top w:val="nil"/>
              <w:left w:val="nil"/>
              <w:bottom w:val="single" w:sz="4" w:space="0" w:color="auto"/>
              <w:right w:val="single" w:sz="4" w:space="0" w:color="auto"/>
            </w:tcBorders>
            <w:shd w:val="clear" w:color="auto" w:fill="auto"/>
            <w:noWrap/>
            <w:vAlign w:val="bottom"/>
            <w:hideMark/>
          </w:tcPr>
          <w:p w14:paraId="2FCCE8E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2035</w:t>
            </w:r>
          </w:p>
        </w:tc>
        <w:tc>
          <w:tcPr>
            <w:tcW w:w="1431" w:type="dxa"/>
            <w:tcBorders>
              <w:top w:val="nil"/>
              <w:left w:val="nil"/>
              <w:bottom w:val="single" w:sz="4" w:space="0" w:color="auto"/>
              <w:right w:val="single" w:sz="4" w:space="0" w:color="auto"/>
            </w:tcBorders>
            <w:shd w:val="clear" w:color="auto" w:fill="auto"/>
            <w:noWrap/>
            <w:vAlign w:val="bottom"/>
            <w:hideMark/>
          </w:tcPr>
          <w:p w14:paraId="6310EB1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528</w:t>
            </w:r>
          </w:p>
        </w:tc>
      </w:tr>
      <w:tr w:rsidR="009A5B82" w:rsidRPr="009A5B82" w14:paraId="06F65894"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7E58CF64"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Bulletin Board</w:t>
            </w:r>
          </w:p>
        </w:tc>
        <w:tc>
          <w:tcPr>
            <w:tcW w:w="1224" w:type="dxa"/>
            <w:tcBorders>
              <w:top w:val="nil"/>
              <w:left w:val="nil"/>
              <w:bottom w:val="single" w:sz="4" w:space="0" w:color="auto"/>
              <w:right w:val="single" w:sz="4" w:space="0" w:color="auto"/>
            </w:tcBorders>
            <w:shd w:val="clear" w:color="auto" w:fill="auto"/>
            <w:noWrap/>
            <w:vAlign w:val="bottom"/>
            <w:hideMark/>
          </w:tcPr>
          <w:p w14:paraId="30192471"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2015</w:t>
            </w:r>
          </w:p>
        </w:tc>
        <w:tc>
          <w:tcPr>
            <w:tcW w:w="868" w:type="dxa"/>
            <w:tcBorders>
              <w:top w:val="nil"/>
              <w:left w:val="nil"/>
              <w:bottom w:val="single" w:sz="4" w:space="0" w:color="auto"/>
              <w:right w:val="single" w:sz="4" w:space="0" w:color="auto"/>
            </w:tcBorders>
            <w:shd w:val="clear" w:color="auto" w:fill="auto"/>
            <w:noWrap/>
            <w:vAlign w:val="bottom"/>
            <w:hideMark/>
          </w:tcPr>
          <w:p w14:paraId="4F97D94B"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w:t>
            </w:r>
          </w:p>
        </w:tc>
        <w:tc>
          <w:tcPr>
            <w:tcW w:w="1148" w:type="dxa"/>
            <w:tcBorders>
              <w:top w:val="nil"/>
              <w:left w:val="nil"/>
              <w:bottom w:val="single" w:sz="4" w:space="0" w:color="auto"/>
              <w:right w:val="single" w:sz="4" w:space="0" w:color="auto"/>
            </w:tcBorders>
            <w:shd w:val="clear" w:color="auto" w:fill="auto"/>
            <w:noWrap/>
            <w:vAlign w:val="bottom"/>
            <w:hideMark/>
          </w:tcPr>
          <w:p w14:paraId="0F77EEB6"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14</w:t>
            </w:r>
          </w:p>
        </w:tc>
        <w:tc>
          <w:tcPr>
            <w:tcW w:w="1651" w:type="dxa"/>
            <w:tcBorders>
              <w:top w:val="nil"/>
              <w:left w:val="nil"/>
              <w:bottom w:val="single" w:sz="4" w:space="0" w:color="auto"/>
              <w:right w:val="single" w:sz="4" w:space="0" w:color="auto"/>
            </w:tcBorders>
            <w:shd w:val="clear" w:color="auto" w:fill="auto"/>
            <w:noWrap/>
            <w:vAlign w:val="bottom"/>
            <w:hideMark/>
          </w:tcPr>
          <w:p w14:paraId="070D7524"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400</w:t>
            </w:r>
          </w:p>
        </w:tc>
        <w:tc>
          <w:tcPr>
            <w:tcW w:w="1475" w:type="dxa"/>
            <w:tcBorders>
              <w:top w:val="nil"/>
              <w:left w:val="nil"/>
              <w:bottom w:val="single" w:sz="4" w:space="0" w:color="auto"/>
              <w:right w:val="single" w:sz="4" w:space="0" w:color="auto"/>
            </w:tcBorders>
            <w:shd w:val="clear" w:color="auto" w:fill="auto"/>
            <w:noWrap/>
            <w:vAlign w:val="bottom"/>
            <w:hideMark/>
          </w:tcPr>
          <w:p w14:paraId="2A53A252"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2035</w:t>
            </w:r>
          </w:p>
        </w:tc>
        <w:tc>
          <w:tcPr>
            <w:tcW w:w="1431" w:type="dxa"/>
            <w:tcBorders>
              <w:top w:val="nil"/>
              <w:left w:val="nil"/>
              <w:bottom w:val="single" w:sz="4" w:space="0" w:color="auto"/>
              <w:right w:val="single" w:sz="4" w:space="0" w:color="auto"/>
            </w:tcBorders>
            <w:shd w:val="clear" w:color="auto" w:fill="auto"/>
            <w:noWrap/>
            <w:vAlign w:val="bottom"/>
            <w:hideMark/>
          </w:tcPr>
          <w:p w14:paraId="6586FF20"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528</w:t>
            </w:r>
          </w:p>
        </w:tc>
      </w:tr>
      <w:tr w:rsidR="009A5B82" w:rsidRPr="009A5B82" w14:paraId="33151DF2"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33B0D319"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Bulletin Board</w:t>
            </w:r>
          </w:p>
        </w:tc>
        <w:tc>
          <w:tcPr>
            <w:tcW w:w="1224" w:type="dxa"/>
            <w:tcBorders>
              <w:top w:val="nil"/>
              <w:left w:val="nil"/>
              <w:bottom w:val="single" w:sz="4" w:space="0" w:color="auto"/>
              <w:right w:val="single" w:sz="4" w:space="0" w:color="auto"/>
            </w:tcBorders>
            <w:shd w:val="clear" w:color="auto" w:fill="auto"/>
            <w:noWrap/>
            <w:vAlign w:val="bottom"/>
            <w:hideMark/>
          </w:tcPr>
          <w:p w14:paraId="219F3BCD"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2015</w:t>
            </w:r>
          </w:p>
        </w:tc>
        <w:tc>
          <w:tcPr>
            <w:tcW w:w="868" w:type="dxa"/>
            <w:tcBorders>
              <w:top w:val="nil"/>
              <w:left w:val="nil"/>
              <w:bottom w:val="single" w:sz="4" w:space="0" w:color="auto"/>
              <w:right w:val="single" w:sz="4" w:space="0" w:color="auto"/>
            </w:tcBorders>
            <w:shd w:val="clear" w:color="auto" w:fill="auto"/>
            <w:noWrap/>
            <w:vAlign w:val="bottom"/>
            <w:hideMark/>
          </w:tcPr>
          <w:p w14:paraId="74C5F984"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w:t>
            </w:r>
          </w:p>
        </w:tc>
        <w:tc>
          <w:tcPr>
            <w:tcW w:w="1148" w:type="dxa"/>
            <w:tcBorders>
              <w:top w:val="nil"/>
              <w:left w:val="nil"/>
              <w:bottom w:val="single" w:sz="4" w:space="0" w:color="auto"/>
              <w:right w:val="single" w:sz="4" w:space="0" w:color="auto"/>
            </w:tcBorders>
            <w:shd w:val="clear" w:color="auto" w:fill="auto"/>
            <w:noWrap/>
            <w:vAlign w:val="bottom"/>
            <w:hideMark/>
          </w:tcPr>
          <w:p w14:paraId="6A02392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14</w:t>
            </w:r>
          </w:p>
        </w:tc>
        <w:tc>
          <w:tcPr>
            <w:tcW w:w="1651" w:type="dxa"/>
            <w:tcBorders>
              <w:top w:val="nil"/>
              <w:left w:val="nil"/>
              <w:bottom w:val="single" w:sz="4" w:space="0" w:color="auto"/>
              <w:right w:val="single" w:sz="4" w:space="0" w:color="auto"/>
            </w:tcBorders>
            <w:shd w:val="clear" w:color="auto" w:fill="auto"/>
            <w:noWrap/>
            <w:vAlign w:val="bottom"/>
            <w:hideMark/>
          </w:tcPr>
          <w:p w14:paraId="7258A034"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400</w:t>
            </w:r>
          </w:p>
        </w:tc>
        <w:tc>
          <w:tcPr>
            <w:tcW w:w="1475" w:type="dxa"/>
            <w:tcBorders>
              <w:top w:val="nil"/>
              <w:left w:val="nil"/>
              <w:bottom w:val="single" w:sz="4" w:space="0" w:color="auto"/>
              <w:right w:val="single" w:sz="4" w:space="0" w:color="auto"/>
            </w:tcBorders>
            <w:shd w:val="clear" w:color="auto" w:fill="auto"/>
            <w:noWrap/>
            <w:vAlign w:val="bottom"/>
            <w:hideMark/>
          </w:tcPr>
          <w:p w14:paraId="4D06ECD1"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2035</w:t>
            </w:r>
          </w:p>
        </w:tc>
        <w:tc>
          <w:tcPr>
            <w:tcW w:w="1431" w:type="dxa"/>
            <w:tcBorders>
              <w:top w:val="nil"/>
              <w:left w:val="nil"/>
              <w:bottom w:val="single" w:sz="4" w:space="0" w:color="auto"/>
              <w:right w:val="single" w:sz="4" w:space="0" w:color="auto"/>
            </w:tcBorders>
            <w:shd w:val="clear" w:color="auto" w:fill="auto"/>
            <w:noWrap/>
            <w:vAlign w:val="bottom"/>
            <w:hideMark/>
          </w:tcPr>
          <w:p w14:paraId="1DB7E692"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528</w:t>
            </w:r>
          </w:p>
        </w:tc>
      </w:tr>
      <w:tr w:rsidR="009A5B82" w:rsidRPr="009A5B82" w14:paraId="113617C7"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4C2A9B83"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Bulletin Board</w:t>
            </w:r>
          </w:p>
        </w:tc>
        <w:tc>
          <w:tcPr>
            <w:tcW w:w="1224" w:type="dxa"/>
            <w:tcBorders>
              <w:top w:val="nil"/>
              <w:left w:val="nil"/>
              <w:bottom w:val="single" w:sz="4" w:space="0" w:color="auto"/>
              <w:right w:val="single" w:sz="4" w:space="0" w:color="auto"/>
            </w:tcBorders>
            <w:shd w:val="clear" w:color="auto" w:fill="auto"/>
            <w:noWrap/>
            <w:vAlign w:val="bottom"/>
            <w:hideMark/>
          </w:tcPr>
          <w:p w14:paraId="199CDF30"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2003</w:t>
            </w:r>
          </w:p>
        </w:tc>
        <w:tc>
          <w:tcPr>
            <w:tcW w:w="868" w:type="dxa"/>
            <w:tcBorders>
              <w:top w:val="nil"/>
              <w:left w:val="nil"/>
              <w:bottom w:val="single" w:sz="4" w:space="0" w:color="auto"/>
              <w:right w:val="single" w:sz="4" w:space="0" w:color="auto"/>
            </w:tcBorders>
            <w:shd w:val="clear" w:color="auto" w:fill="auto"/>
            <w:noWrap/>
            <w:vAlign w:val="bottom"/>
            <w:hideMark/>
          </w:tcPr>
          <w:p w14:paraId="322AEBD0"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w:t>
            </w:r>
          </w:p>
        </w:tc>
        <w:tc>
          <w:tcPr>
            <w:tcW w:w="1148" w:type="dxa"/>
            <w:tcBorders>
              <w:top w:val="nil"/>
              <w:left w:val="nil"/>
              <w:bottom w:val="single" w:sz="4" w:space="0" w:color="auto"/>
              <w:right w:val="single" w:sz="4" w:space="0" w:color="auto"/>
            </w:tcBorders>
            <w:shd w:val="clear" w:color="auto" w:fill="auto"/>
            <w:noWrap/>
            <w:vAlign w:val="bottom"/>
            <w:hideMark/>
          </w:tcPr>
          <w:p w14:paraId="33A546F5"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w:t>
            </w:r>
          </w:p>
        </w:tc>
        <w:tc>
          <w:tcPr>
            <w:tcW w:w="1651" w:type="dxa"/>
            <w:tcBorders>
              <w:top w:val="nil"/>
              <w:left w:val="nil"/>
              <w:bottom w:val="single" w:sz="4" w:space="0" w:color="auto"/>
              <w:right w:val="single" w:sz="4" w:space="0" w:color="auto"/>
            </w:tcBorders>
            <w:shd w:val="clear" w:color="auto" w:fill="auto"/>
            <w:noWrap/>
            <w:vAlign w:val="bottom"/>
            <w:hideMark/>
          </w:tcPr>
          <w:p w14:paraId="669FE7EA"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400</w:t>
            </w:r>
          </w:p>
        </w:tc>
        <w:tc>
          <w:tcPr>
            <w:tcW w:w="1475" w:type="dxa"/>
            <w:tcBorders>
              <w:top w:val="nil"/>
              <w:left w:val="nil"/>
              <w:bottom w:val="single" w:sz="4" w:space="0" w:color="auto"/>
              <w:right w:val="single" w:sz="4" w:space="0" w:color="auto"/>
            </w:tcBorders>
            <w:shd w:val="clear" w:color="auto" w:fill="auto"/>
            <w:noWrap/>
            <w:vAlign w:val="bottom"/>
            <w:hideMark/>
          </w:tcPr>
          <w:p w14:paraId="1F90DDB7"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2023</w:t>
            </w:r>
          </w:p>
        </w:tc>
        <w:tc>
          <w:tcPr>
            <w:tcW w:w="1431" w:type="dxa"/>
            <w:tcBorders>
              <w:top w:val="nil"/>
              <w:left w:val="nil"/>
              <w:bottom w:val="single" w:sz="4" w:space="0" w:color="auto"/>
              <w:right w:val="single" w:sz="4" w:space="0" w:color="auto"/>
            </w:tcBorders>
            <w:shd w:val="clear" w:color="auto" w:fill="auto"/>
            <w:noWrap/>
            <w:vAlign w:val="bottom"/>
            <w:hideMark/>
          </w:tcPr>
          <w:p w14:paraId="139689ED"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416</w:t>
            </w:r>
          </w:p>
        </w:tc>
      </w:tr>
      <w:tr w:rsidR="009A5B82" w:rsidRPr="009A5B82" w14:paraId="6435E760"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633AD621"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SBV Sign</w:t>
            </w:r>
          </w:p>
        </w:tc>
        <w:tc>
          <w:tcPr>
            <w:tcW w:w="1224" w:type="dxa"/>
            <w:tcBorders>
              <w:top w:val="nil"/>
              <w:left w:val="nil"/>
              <w:bottom w:val="single" w:sz="4" w:space="0" w:color="auto"/>
              <w:right w:val="single" w:sz="4" w:space="0" w:color="auto"/>
            </w:tcBorders>
            <w:shd w:val="clear" w:color="auto" w:fill="auto"/>
            <w:noWrap/>
            <w:vAlign w:val="bottom"/>
            <w:hideMark/>
          </w:tcPr>
          <w:p w14:paraId="6335899A"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2012</w:t>
            </w:r>
          </w:p>
        </w:tc>
        <w:tc>
          <w:tcPr>
            <w:tcW w:w="868" w:type="dxa"/>
            <w:tcBorders>
              <w:top w:val="nil"/>
              <w:left w:val="nil"/>
              <w:bottom w:val="single" w:sz="4" w:space="0" w:color="auto"/>
              <w:right w:val="single" w:sz="4" w:space="0" w:color="auto"/>
            </w:tcBorders>
            <w:shd w:val="clear" w:color="auto" w:fill="auto"/>
            <w:noWrap/>
            <w:vAlign w:val="bottom"/>
            <w:hideMark/>
          </w:tcPr>
          <w:p w14:paraId="17ECBC14"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w:t>
            </w:r>
          </w:p>
        </w:tc>
        <w:tc>
          <w:tcPr>
            <w:tcW w:w="1148" w:type="dxa"/>
            <w:tcBorders>
              <w:top w:val="nil"/>
              <w:left w:val="nil"/>
              <w:bottom w:val="single" w:sz="4" w:space="0" w:color="auto"/>
              <w:right w:val="single" w:sz="4" w:space="0" w:color="auto"/>
            </w:tcBorders>
            <w:shd w:val="clear" w:color="auto" w:fill="auto"/>
            <w:noWrap/>
            <w:vAlign w:val="bottom"/>
            <w:hideMark/>
          </w:tcPr>
          <w:p w14:paraId="6FF80AA7"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21</w:t>
            </w:r>
          </w:p>
        </w:tc>
        <w:tc>
          <w:tcPr>
            <w:tcW w:w="1651" w:type="dxa"/>
            <w:tcBorders>
              <w:top w:val="nil"/>
              <w:left w:val="nil"/>
              <w:bottom w:val="single" w:sz="4" w:space="0" w:color="auto"/>
              <w:right w:val="single" w:sz="4" w:space="0" w:color="auto"/>
            </w:tcBorders>
            <w:shd w:val="clear" w:color="auto" w:fill="auto"/>
            <w:noWrap/>
            <w:vAlign w:val="bottom"/>
            <w:hideMark/>
          </w:tcPr>
          <w:p w14:paraId="19BD9C23"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3000</w:t>
            </w:r>
          </w:p>
        </w:tc>
        <w:tc>
          <w:tcPr>
            <w:tcW w:w="1475" w:type="dxa"/>
            <w:tcBorders>
              <w:top w:val="nil"/>
              <w:left w:val="nil"/>
              <w:bottom w:val="single" w:sz="4" w:space="0" w:color="auto"/>
              <w:right w:val="single" w:sz="4" w:space="0" w:color="auto"/>
            </w:tcBorders>
            <w:shd w:val="clear" w:color="auto" w:fill="auto"/>
            <w:noWrap/>
            <w:vAlign w:val="bottom"/>
            <w:hideMark/>
          </w:tcPr>
          <w:p w14:paraId="1A1B9AB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2042</w:t>
            </w:r>
          </w:p>
        </w:tc>
        <w:tc>
          <w:tcPr>
            <w:tcW w:w="1431" w:type="dxa"/>
            <w:tcBorders>
              <w:top w:val="nil"/>
              <w:left w:val="nil"/>
              <w:bottom w:val="single" w:sz="4" w:space="0" w:color="auto"/>
              <w:right w:val="single" w:sz="4" w:space="0" w:color="auto"/>
            </w:tcBorders>
            <w:shd w:val="clear" w:color="auto" w:fill="auto"/>
            <w:noWrap/>
            <w:vAlign w:val="bottom"/>
            <w:hideMark/>
          </w:tcPr>
          <w:p w14:paraId="300C556C"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4547</w:t>
            </w:r>
          </w:p>
        </w:tc>
      </w:tr>
      <w:tr w:rsidR="009A5B82" w:rsidRPr="009A5B82" w14:paraId="24DFF803"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02FA313C"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SBV Sign</w:t>
            </w:r>
          </w:p>
        </w:tc>
        <w:tc>
          <w:tcPr>
            <w:tcW w:w="1224" w:type="dxa"/>
            <w:tcBorders>
              <w:top w:val="nil"/>
              <w:left w:val="nil"/>
              <w:bottom w:val="single" w:sz="4" w:space="0" w:color="auto"/>
              <w:right w:val="single" w:sz="4" w:space="0" w:color="auto"/>
            </w:tcBorders>
            <w:shd w:val="clear" w:color="auto" w:fill="auto"/>
            <w:noWrap/>
            <w:vAlign w:val="bottom"/>
            <w:hideMark/>
          </w:tcPr>
          <w:p w14:paraId="533F78BA"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2012</w:t>
            </w:r>
          </w:p>
        </w:tc>
        <w:tc>
          <w:tcPr>
            <w:tcW w:w="868" w:type="dxa"/>
            <w:tcBorders>
              <w:top w:val="nil"/>
              <w:left w:val="nil"/>
              <w:bottom w:val="single" w:sz="4" w:space="0" w:color="auto"/>
              <w:right w:val="single" w:sz="4" w:space="0" w:color="auto"/>
            </w:tcBorders>
            <w:shd w:val="clear" w:color="auto" w:fill="auto"/>
            <w:noWrap/>
            <w:vAlign w:val="bottom"/>
            <w:hideMark/>
          </w:tcPr>
          <w:p w14:paraId="45075EAD"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w:t>
            </w:r>
          </w:p>
        </w:tc>
        <w:tc>
          <w:tcPr>
            <w:tcW w:w="1148" w:type="dxa"/>
            <w:tcBorders>
              <w:top w:val="nil"/>
              <w:left w:val="nil"/>
              <w:bottom w:val="single" w:sz="4" w:space="0" w:color="auto"/>
              <w:right w:val="single" w:sz="4" w:space="0" w:color="auto"/>
            </w:tcBorders>
            <w:shd w:val="clear" w:color="auto" w:fill="auto"/>
            <w:noWrap/>
            <w:vAlign w:val="bottom"/>
            <w:hideMark/>
          </w:tcPr>
          <w:p w14:paraId="46C7DAEE"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21</w:t>
            </w:r>
          </w:p>
        </w:tc>
        <w:tc>
          <w:tcPr>
            <w:tcW w:w="1651" w:type="dxa"/>
            <w:tcBorders>
              <w:top w:val="nil"/>
              <w:left w:val="nil"/>
              <w:bottom w:val="single" w:sz="4" w:space="0" w:color="auto"/>
              <w:right w:val="single" w:sz="4" w:space="0" w:color="auto"/>
            </w:tcBorders>
            <w:shd w:val="clear" w:color="auto" w:fill="auto"/>
            <w:noWrap/>
            <w:vAlign w:val="bottom"/>
            <w:hideMark/>
          </w:tcPr>
          <w:p w14:paraId="7C26AC42"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3000</w:t>
            </w:r>
          </w:p>
        </w:tc>
        <w:tc>
          <w:tcPr>
            <w:tcW w:w="1475" w:type="dxa"/>
            <w:tcBorders>
              <w:top w:val="nil"/>
              <w:left w:val="nil"/>
              <w:bottom w:val="single" w:sz="4" w:space="0" w:color="auto"/>
              <w:right w:val="single" w:sz="4" w:space="0" w:color="auto"/>
            </w:tcBorders>
            <w:shd w:val="clear" w:color="auto" w:fill="auto"/>
            <w:noWrap/>
            <w:vAlign w:val="bottom"/>
            <w:hideMark/>
          </w:tcPr>
          <w:p w14:paraId="72AB4AF9"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2042</w:t>
            </w:r>
          </w:p>
        </w:tc>
        <w:tc>
          <w:tcPr>
            <w:tcW w:w="1431" w:type="dxa"/>
            <w:tcBorders>
              <w:top w:val="nil"/>
              <w:left w:val="nil"/>
              <w:bottom w:val="single" w:sz="4" w:space="0" w:color="auto"/>
              <w:right w:val="single" w:sz="4" w:space="0" w:color="auto"/>
            </w:tcBorders>
            <w:shd w:val="clear" w:color="auto" w:fill="auto"/>
            <w:noWrap/>
            <w:vAlign w:val="bottom"/>
            <w:hideMark/>
          </w:tcPr>
          <w:p w14:paraId="30681AFC"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4547</w:t>
            </w:r>
          </w:p>
        </w:tc>
      </w:tr>
      <w:tr w:rsidR="009A5B82" w:rsidRPr="009A5B82" w14:paraId="5122E8C3"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3F3A42FD"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SBV Sign</w:t>
            </w:r>
          </w:p>
        </w:tc>
        <w:tc>
          <w:tcPr>
            <w:tcW w:w="1224" w:type="dxa"/>
            <w:tcBorders>
              <w:top w:val="nil"/>
              <w:left w:val="nil"/>
              <w:bottom w:val="single" w:sz="4" w:space="0" w:color="auto"/>
              <w:right w:val="single" w:sz="4" w:space="0" w:color="auto"/>
            </w:tcBorders>
            <w:shd w:val="clear" w:color="auto" w:fill="auto"/>
            <w:noWrap/>
            <w:vAlign w:val="bottom"/>
            <w:hideMark/>
          </w:tcPr>
          <w:p w14:paraId="3928AAB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2012</w:t>
            </w:r>
          </w:p>
        </w:tc>
        <w:tc>
          <w:tcPr>
            <w:tcW w:w="868" w:type="dxa"/>
            <w:tcBorders>
              <w:top w:val="nil"/>
              <w:left w:val="nil"/>
              <w:bottom w:val="single" w:sz="4" w:space="0" w:color="auto"/>
              <w:right w:val="single" w:sz="4" w:space="0" w:color="auto"/>
            </w:tcBorders>
            <w:shd w:val="clear" w:color="auto" w:fill="auto"/>
            <w:noWrap/>
            <w:vAlign w:val="bottom"/>
            <w:hideMark/>
          </w:tcPr>
          <w:p w14:paraId="682A2145"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w:t>
            </w:r>
          </w:p>
        </w:tc>
        <w:tc>
          <w:tcPr>
            <w:tcW w:w="1148" w:type="dxa"/>
            <w:tcBorders>
              <w:top w:val="nil"/>
              <w:left w:val="nil"/>
              <w:bottom w:val="single" w:sz="4" w:space="0" w:color="auto"/>
              <w:right w:val="single" w:sz="4" w:space="0" w:color="auto"/>
            </w:tcBorders>
            <w:shd w:val="clear" w:color="auto" w:fill="auto"/>
            <w:noWrap/>
            <w:vAlign w:val="bottom"/>
            <w:hideMark/>
          </w:tcPr>
          <w:p w14:paraId="334B3866"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21</w:t>
            </w:r>
          </w:p>
        </w:tc>
        <w:tc>
          <w:tcPr>
            <w:tcW w:w="1651" w:type="dxa"/>
            <w:tcBorders>
              <w:top w:val="nil"/>
              <w:left w:val="nil"/>
              <w:bottom w:val="single" w:sz="4" w:space="0" w:color="auto"/>
              <w:right w:val="single" w:sz="4" w:space="0" w:color="auto"/>
            </w:tcBorders>
            <w:shd w:val="clear" w:color="auto" w:fill="auto"/>
            <w:noWrap/>
            <w:vAlign w:val="bottom"/>
            <w:hideMark/>
          </w:tcPr>
          <w:p w14:paraId="67BF5CD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3000</w:t>
            </w:r>
          </w:p>
        </w:tc>
        <w:tc>
          <w:tcPr>
            <w:tcW w:w="1475" w:type="dxa"/>
            <w:tcBorders>
              <w:top w:val="nil"/>
              <w:left w:val="nil"/>
              <w:bottom w:val="single" w:sz="4" w:space="0" w:color="auto"/>
              <w:right w:val="single" w:sz="4" w:space="0" w:color="auto"/>
            </w:tcBorders>
            <w:shd w:val="clear" w:color="auto" w:fill="auto"/>
            <w:noWrap/>
            <w:vAlign w:val="bottom"/>
            <w:hideMark/>
          </w:tcPr>
          <w:p w14:paraId="3359C8B9"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2042</w:t>
            </w:r>
          </w:p>
        </w:tc>
        <w:tc>
          <w:tcPr>
            <w:tcW w:w="1431" w:type="dxa"/>
            <w:tcBorders>
              <w:top w:val="nil"/>
              <w:left w:val="nil"/>
              <w:bottom w:val="single" w:sz="4" w:space="0" w:color="auto"/>
              <w:right w:val="single" w:sz="4" w:space="0" w:color="auto"/>
            </w:tcBorders>
            <w:shd w:val="clear" w:color="auto" w:fill="auto"/>
            <w:noWrap/>
            <w:vAlign w:val="bottom"/>
            <w:hideMark/>
          </w:tcPr>
          <w:p w14:paraId="16763D86"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4547</w:t>
            </w:r>
          </w:p>
        </w:tc>
      </w:tr>
      <w:tr w:rsidR="009A5B82" w:rsidRPr="009A5B82" w14:paraId="68545F51"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43486BB0"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SBV Sign</w:t>
            </w:r>
          </w:p>
        </w:tc>
        <w:tc>
          <w:tcPr>
            <w:tcW w:w="1224" w:type="dxa"/>
            <w:tcBorders>
              <w:top w:val="nil"/>
              <w:left w:val="nil"/>
              <w:bottom w:val="single" w:sz="4" w:space="0" w:color="auto"/>
              <w:right w:val="single" w:sz="4" w:space="0" w:color="auto"/>
            </w:tcBorders>
            <w:shd w:val="clear" w:color="auto" w:fill="auto"/>
            <w:noWrap/>
            <w:vAlign w:val="bottom"/>
            <w:hideMark/>
          </w:tcPr>
          <w:p w14:paraId="4C581986"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2012</w:t>
            </w:r>
          </w:p>
        </w:tc>
        <w:tc>
          <w:tcPr>
            <w:tcW w:w="868" w:type="dxa"/>
            <w:tcBorders>
              <w:top w:val="nil"/>
              <w:left w:val="nil"/>
              <w:bottom w:val="single" w:sz="4" w:space="0" w:color="auto"/>
              <w:right w:val="single" w:sz="4" w:space="0" w:color="auto"/>
            </w:tcBorders>
            <w:shd w:val="clear" w:color="auto" w:fill="auto"/>
            <w:noWrap/>
            <w:vAlign w:val="bottom"/>
            <w:hideMark/>
          </w:tcPr>
          <w:p w14:paraId="6AD81AAB"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w:t>
            </w:r>
          </w:p>
        </w:tc>
        <w:tc>
          <w:tcPr>
            <w:tcW w:w="1148" w:type="dxa"/>
            <w:tcBorders>
              <w:top w:val="nil"/>
              <w:left w:val="nil"/>
              <w:bottom w:val="single" w:sz="4" w:space="0" w:color="auto"/>
              <w:right w:val="single" w:sz="4" w:space="0" w:color="auto"/>
            </w:tcBorders>
            <w:shd w:val="clear" w:color="auto" w:fill="auto"/>
            <w:noWrap/>
            <w:vAlign w:val="bottom"/>
            <w:hideMark/>
          </w:tcPr>
          <w:p w14:paraId="7F840F06"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21</w:t>
            </w:r>
          </w:p>
        </w:tc>
        <w:tc>
          <w:tcPr>
            <w:tcW w:w="1651" w:type="dxa"/>
            <w:tcBorders>
              <w:top w:val="nil"/>
              <w:left w:val="nil"/>
              <w:bottom w:val="single" w:sz="4" w:space="0" w:color="auto"/>
              <w:right w:val="single" w:sz="4" w:space="0" w:color="auto"/>
            </w:tcBorders>
            <w:shd w:val="clear" w:color="auto" w:fill="auto"/>
            <w:noWrap/>
            <w:vAlign w:val="bottom"/>
            <w:hideMark/>
          </w:tcPr>
          <w:p w14:paraId="0841519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3000</w:t>
            </w:r>
          </w:p>
        </w:tc>
        <w:tc>
          <w:tcPr>
            <w:tcW w:w="1475" w:type="dxa"/>
            <w:tcBorders>
              <w:top w:val="nil"/>
              <w:left w:val="nil"/>
              <w:bottom w:val="single" w:sz="4" w:space="0" w:color="auto"/>
              <w:right w:val="single" w:sz="4" w:space="0" w:color="auto"/>
            </w:tcBorders>
            <w:shd w:val="clear" w:color="auto" w:fill="auto"/>
            <w:noWrap/>
            <w:vAlign w:val="bottom"/>
            <w:hideMark/>
          </w:tcPr>
          <w:p w14:paraId="4CE3E3CC"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2042</w:t>
            </w:r>
          </w:p>
        </w:tc>
        <w:tc>
          <w:tcPr>
            <w:tcW w:w="1431" w:type="dxa"/>
            <w:tcBorders>
              <w:top w:val="nil"/>
              <w:left w:val="nil"/>
              <w:bottom w:val="single" w:sz="4" w:space="0" w:color="auto"/>
              <w:right w:val="single" w:sz="4" w:space="0" w:color="auto"/>
            </w:tcBorders>
            <w:shd w:val="clear" w:color="auto" w:fill="auto"/>
            <w:noWrap/>
            <w:vAlign w:val="bottom"/>
            <w:hideMark/>
          </w:tcPr>
          <w:p w14:paraId="5DA6F00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4547</w:t>
            </w:r>
          </w:p>
        </w:tc>
      </w:tr>
      <w:tr w:rsidR="009A5B82" w:rsidRPr="009A5B82" w14:paraId="144D3487"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07D98789"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Turtle Creek Sign</w:t>
            </w:r>
          </w:p>
        </w:tc>
        <w:tc>
          <w:tcPr>
            <w:tcW w:w="1224" w:type="dxa"/>
            <w:tcBorders>
              <w:top w:val="nil"/>
              <w:left w:val="nil"/>
              <w:bottom w:val="single" w:sz="4" w:space="0" w:color="auto"/>
              <w:right w:val="single" w:sz="4" w:space="0" w:color="auto"/>
            </w:tcBorders>
            <w:shd w:val="clear" w:color="auto" w:fill="auto"/>
            <w:noWrap/>
            <w:vAlign w:val="bottom"/>
            <w:hideMark/>
          </w:tcPr>
          <w:p w14:paraId="3F3155D5"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2012</w:t>
            </w:r>
          </w:p>
        </w:tc>
        <w:tc>
          <w:tcPr>
            <w:tcW w:w="868" w:type="dxa"/>
            <w:tcBorders>
              <w:top w:val="nil"/>
              <w:left w:val="nil"/>
              <w:bottom w:val="single" w:sz="4" w:space="0" w:color="auto"/>
              <w:right w:val="single" w:sz="4" w:space="0" w:color="auto"/>
            </w:tcBorders>
            <w:shd w:val="clear" w:color="auto" w:fill="auto"/>
            <w:noWrap/>
            <w:vAlign w:val="bottom"/>
            <w:hideMark/>
          </w:tcPr>
          <w:p w14:paraId="62B695A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w:t>
            </w:r>
          </w:p>
        </w:tc>
        <w:tc>
          <w:tcPr>
            <w:tcW w:w="1148" w:type="dxa"/>
            <w:tcBorders>
              <w:top w:val="nil"/>
              <w:left w:val="nil"/>
              <w:bottom w:val="single" w:sz="4" w:space="0" w:color="auto"/>
              <w:right w:val="single" w:sz="4" w:space="0" w:color="auto"/>
            </w:tcBorders>
            <w:shd w:val="clear" w:color="auto" w:fill="auto"/>
            <w:noWrap/>
            <w:vAlign w:val="bottom"/>
            <w:hideMark/>
          </w:tcPr>
          <w:p w14:paraId="1198409A"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21</w:t>
            </w:r>
          </w:p>
        </w:tc>
        <w:tc>
          <w:tcPr>
            <w:tcW w:w="1651" w:type="dxa"/>
            <w:tcBorders>
              <w:top w:val="nil"/>
              <w:left w:val="nil"/>
              <w:bottom w:val="single" w:sz="4" w:space="0" w:color="auto"/>
              <w:right w:val="single" w:sz="4" w:space="0" w:color="auto"/>
            </w:tcBorders>
            <w:shd w:val="clear" w:color="auto" w:fill="auto"/>
            <w:noWrap/>
            <w:vAlign w:val="bottom"/>
            <w:hideMark/>
          </w:tcPr>
          <w:p w14:paraId="18F2FD02"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3000</w:t>
            </w:r>
          </w:p>
        </w:tc>
        <w:tc>
          <w:tcPr>
            <w:tcW w:w="1475" w:type="dxa"/>
            <w:tcBorders>
              <w:top w:val="nil"/>
              <w:left w:val="nil"/>
              <w:bottom w:val="single" w:sz="4" w:space="0" w:color="auto"/>
              <w:right w:val="single" w:sz="4" w:space="0" w:color="auto"/>
            </w:tcBorders>
            <w:shd w:val="clear" w:color="auto" w:fill="auto"/>
            <w:noWrap/>
            <w:vAlign w:val="bottom"/>
            <w:hideMark/>
          </w:tcPr>
          <w:p w14:paraId="3CE0FDE2"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2042</w:t>
            </w:r>
          </w:p>
        </w:tc>
        <w:tc>
          <w:tcPr>
            <w:tcW w:w="1431" w:type="dxa"/>
            <w:tcBorders>
              <w:top w:val="nil"/>
              <w:left w:val="nil"/>
              <w:bottom w:val="single" w:sz="4" w:space="0" w:color="auto"/>
              <w:right w:val="single" w:sz="4" w:space="0" w:color="auto"/>
            </w:tcBorders>
            <w:shd w:val="clear" w:color="auto" w:fill="auto"/>
            <w:noWrap/>
            <w:vAlign w:val="bottom"/>
            <w:hideMark/>
          </w:tcPr>
          <w:p w14:paraId="1E789DD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4547</w:t>
            </w:r>
          </w:p>
        </w:tc>
      </w:tr>
      <w:tr w:rsidR="009A5B82" w:rsidRPr="009A5B82" w14:paraId="00E185C5" w14:textId="77777777" w:rsidTr="009A5B82">
        <w:trPr>
          <w:trHeight w:val="300"/>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70E4E194"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Turtle Creek Park Sign</w:t>
            </w:r>
          </w:p>
        </w:tc>
        <w:tc>
          <w:tcPr>
            <w:tcW w:w="1224" w:type="dxa"/>
            <w:tcBorders>
              <w:top w:val="nil"/>
              <w:left w:val="nil"/>
              <w:bottom w:val="single" w:sz="4" w:space="0" w:color="auto"/>
              <w:right w:val="single" w:sz="4" w:space="0" w:color="auto"/>
            </w:tcBorders>
            <w:shd w:val="clear" w:color="auto" w:fill="auto"/>
            <w:noWrap/>
            <w:vAlign w:val="bottom"/>
            <w:hideMark/>
          </w:tcPr>
          <w:p w14:paraId="17AECFF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2014</w:t>
            </w:r>
          </w:p>
        </w:tc>
        <w:tc>
          <w:tcPr>
            <w:tcW w:w="868" w:type="dxa"/>
            <w:tcBorders>
              <w:top w:val="nil"/>
              <w:left w:val="nil"/>
              <w:bottom w:val="single" w:sz="4" w:space="0" w:color="auto"/>
              <w:right w:val="single" w:sz="4" w:space="0" w:color="auto"/>
            </w:tcBorders>
            <w:shd w:val="clear" w:color="auto" w:fill="auto"/>
            <w:noWrap/>
            <w:vAlign w:val="bottom"/>
            <w:hideMark/>
          </w:tcPr>
          <w:p w14:paraId="286E2C66"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w:t>
            </w:r>
          </w:p>
        </w:tc>
        <w:tc>
          <w:tcPr>
            <w:tcW w:w="1148" w:type="dxa"/>
            <w:tcBorders>
              <w:top w:val="nil"/>
              <w:left w:val="nil"/>
              <w:bottom w:val="single" w:sz="4" w:space="0" w:color="auto"/>
              <w:right w:val="single" w:sz="4" w:space="0" w:color="auto"/>
            </w:tcBorders>
            <w:shd w:val="clear" w:color="auto" w:fill="auto"/>
            <w:noWrap/>
            <w:vAlign w:val="bottom"/>
            <w:hideMark/>
          </w:tcPr>
          <w:p w14:paraId="25AA18D4"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23</w:t>
            </w:r>
          </w:p>
        </w:tc>
        <w:tc>
          <w:tcPr>
            <w:tcW w:w="1651" w:type="dxa"/>
            <w:tcBorders>
              <w:top w:val="nil"/>
              <w:left w:val="nil"/>
              <w:bottom w:val="single" w:sz="4" w:space="0" w:color="auto"/>
              <w:right w:val="single" w:sz="4" w:space="0" w:color="auto"/>
            </w:tcBorders>
            <w:shd w:val="clear" w:color="auto" w:fill="auto"/>
            <w:noWrap/>
            <w:vAlign w:val="bottom"/>
            <w:hideMark/>
          </w:tcPr>
          <w:p w14:paraId="0987335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1500</w:t>
            </w:r>
          </w:p>
        </w:tc>
        <w:tc>
          <w:tcPr>
            <w:tcW w:w="1475" w:type="dxa"/>
            <w:tcBorders>
              <w:top w:val="nil"/>
              <w:left w:val="nil"/>
              <w:bottom w:val="single" w:sz="4" w:space="0" w:color="auto"/>
              <w:right w:val="single" w:sz="4" w:space="0" w:color="auto"/>
            </w:tcBorders>
            <w:shd w:val="clear" w:color="auto" w:fill="auto"/>
            <w:noWrap/>
            <w:vAlign w:val="bottom"/>
            <w:hideMark/>
          </w:tcPr>
          <w:p w14:paraId="22C95E8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2044</w:t>
            </w:r>
          </w:p>
        </w:tc>
        <w:tc>
          <w:tcPr>
            <w:tcW w:w="1431" w:type="dxa"/>
            <w:tcBorders>
              <w:top w:val="nil"/>
              <w:left w:val="nil"/>
              <w:bottom w:val="single" w:sz="4" w:space="0" w:color="auto"/>
              <w:right w:val="single" w:sz="4" w:space="0" w:color="auto"/>
            </w:tcBorders>
            <w:shd w:val="clear" w:color="auto" w:fill="auto"/>
            <w:noWrap/>
            <w:vAlign w:val="bottom"/>
            <w:hideMark/>
          </w:tcPr>
          <w:p w14:paraId="223C5DA7"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2365</w:t>
            </w:r>
          </w:p>
        </w:tc>
      </w:tr>
      <w:tr w:rsidR="009A5B82" w:rsidRPr="009A5B82" w14:paraId="4BC0B216" w14:textId="77777777" w:rsidTr="009A5B82">
        <w:trPr>
          <w:trHeight w:val="345"/>
        </w:trPr>
        <w:tc>
          <w:tcPr>
            <w:tcW w:w="2723" w:type="dxa"/>
            <w:tcBorders>
              <w:top w:val="nil"/>
              <w:left w:val="single" w:sz="8" w:space="0" w:color="auto"/>
              <w:bottom w:val="single" w:sz="4" w:space="0" w:color="auto"/>
              <w:right w:val="single" w:sz="4" w:space="0" w:color="auto"/>
            </w:tcBorders>
            <w:shd w:val="clear" w:color="auto" w:fill="auto"/>
            <w:noWrap/>
            <w:vAlign w:val="bottom"/>
            <w:hideMark/>
          </w:tcPr>
          <w:p w14:paraId="66D58F96"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Color Printer</w:t>
            </w:r>
            <w:r w:rsidRPr="009A5B82">
              <w:rPr>
                <w:rFonts w:ascii="Calibri" w:eastAsia="Times New Roman" w:hAnsi="Calibri" w:cs="Calibri"/>
                <w:color w:val="000000"/>
                <w:vertAlign w:val="superscript"/>
              </w:rPr>
              <w:t>1</w:t>
            </w:r>
          </w:p>
        </w:tc>
        <w:tc>
          <w:tcPr>
            <w:tcW w:w="1224" w:type="dxa"/>
            <w:tcBorders>
              <w:top w:val="nil"/>
              <w:left w:val="nil"/>
              <w:bottom w:val="single" w:sz="4" w:space="0" w:color="auto"/>
              <w:right w:val="single" w:sz="4" w:space="0" w:color="auto"/>
            </w:tcBorders>
            <w:shd w:val="clear" w:color="auto" w:fill="auto"/>
            <w:noWrap/>
            <w:vAlign w:val="bottom"/>
            <w:hideMark/>
          </w:tcPr>
          <w:p w14:paraId="29F2501A"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2017</w:t>
            </w:r>
          </w:p>
        </w:tc>
        <w:tc>
          <w:tcPr>
            <w:tcW w:w="868" w:type="dxa"/>
            <w:tcBorders>
              <w:top w:val="nil"/>
              <w:left w:val="nil"/>
              <w:bottom w:val="single" w:sz="4" w:space="0" w:color="auto"/>
              <w:right w:val="single" w:sz="4" w:space="0" w:color="auto"/>
            </w:tcBorders>
            <w:shd w:val="clear" w:color="auto" w:fill="auto"/>
            <w:noWrap/>
            <w:vAlign w:val="bottom"/>
            <w:hideMark/>
          </w:tcPr>
          <w:p w14:paraId="4FF7B5E2"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10</w:t>
            </w:r>
          </w:p>
        </w:tc>
        <w:tc>
          <w:tcPr>
            <w:tcW w:w="1148" w:type="dxa"/>
            <w:tcBorders>
              <w:top w:val="nil"/>
              <w:left w:val="nil"/>
              <w:bottom w:val="single" w:sz="4" w:space="0" w:color="auto"/>
              <w:right w:val="single" w:sz="4" w:space="0" w:color="auto"/>
            </w:tcBorders>
            <w:shd w:val="clear" w:color="auto" w:fill="auto"/>
            <w:noWrap/>
            <w:vAlign w:val="bottom"/>
            <w:hideMark/>
          </w:tcPr>
          <w:p w14:paraId="6D098108"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6</w:t>
            </w:r>
          </w:p>
        </w:tc>
        <w:tc>
          <w:tcPr>
            <w:tcW w:w="1651" w:type="dxa"/>
            <w:tcBorders>
              <w:top w:val="nil"/>
              <w:left w:val="nil"/>
              <w:bottom w:val="single" w:sz="4" w:space="0" w:color="auto"/>
              <w:right w:val="single" w:sz="4" w:space="0" w:color="auto"/>
            </w:tcBorders>
            <w:shd w:val="clear" w:color="auto" w:fill="auto"/>
            <w:noWrap/>
            <w:vAlign w:val="bottom"/>
            <w:hideMark/>
          </w:tcPr>
          <w:p w14:paraId="20A7F942"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3000</w:t>
            </w:r>
          </w:p>
        </w:tc>
        <w:tc>
          <w:tcPr>
            <w:tcW w:w="1475" w:type="dxa"/>
            <w:tcBorders>
              <w:top w:val="nil"/>
              <w:left w:val="nil"/>
              <w:bottom w:val="single" w:sz="4" w:space="0" w:color="auto"/>
              <w:right w:val="single" w:sz="4" w:space="0" w:color="auto"/>
            </w:tcBorders>
            <w:shd w:val="clear" w:color="auto" w:fill="auto"/>
            <w:noWrap/>
            <w:vAlign w:val="bottom"/>
            <w:hideMark/>
          </w:tcPr>
          <w:p w14:paraId="67121B70"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2027</w:t>
            </w:r>
          </w:p>
        </w:tc>
        <w:tc>
          <w:tcPr>
            <w:tcW w:w="1431" w:type="dxa"/>
            <w:tcBorders>
              <w:top w:val="nil"/>
              <w:left w:val="nil"/>
              <w:bottom w:val="single" w:sz="4" w:space="0" w:color="auto"/>
              <w:right w:val="single" w:sz="4" w:space="0" w:color="auto"/>
            </w:tcBorders>
            <w:shd w:val="clear" w:color="auto" w:fill="auto"/>
            <w:noWrap/>
            <w:vAlign w:val="bottom"/>
            <w:hideMark/>
          </w:tcPr>
          <w:p w14:paraId="3CB375F3"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3378</w:t>
            </w:r>
          </w:p>
        </w:tc>
      </w:tr>
      <w:tr w:rsidR="009A5B82" w:rsidRPr="009A5B82" w14:paraId="35DA0BA5" w14:textId="77777777" w:rsidTr="009A5B82">
        <w:trPr>
          <w:trHeight w:val="300"/>
        </w:trPr>
        <w:tc>
          <w:tcPr>
            <w:tcW w:w="2723" w:type="dxa"/>
            <w:tcBorders>
              <w:top w:val="nil"/>
              <w:left w:val="single" w:sz="8" w:space="0" w:color="auto"/>
              <w:bottom w:val="nil"/>
              <w:right w:val="single" w:sz="4" w:space="0" w:color="auto"/>
            </w:tcBorders>
            <w:shd w:val="clear" w:color="auto" w:fill="auto"/>
            <w:noWrap/>
            <w:vAlign w:val="bottom"/>
            <w:hideMark/>
          </w:tcPr>
          <w:p w14:paraId="3A7CC26B"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Computer System</w:t>
            </w:r>
          </w:p>
        </w:tc>
        <w:tc>
          <w:tcPr>
            <w:tcW w:w="1224" w:type="dxa"/>
            <w:tcBorders>
              <w:top w:val="nil"/>
              <w:left w:val="nil"/>
              <w:bottom w:val="nil"/>
              <w:right w:val="single" w:sz="4" w:space="0" w:color="auto"/>
            </w:tcBorders>
            <w:shd w:val="clear" w:color="auto" w:fill="auto"/>
            <w:noWrap/>
            <w:vAlign w:val="bottom"/>
            <w:hideMark/>
          </w:tcPr>
          <w:p w14:paraId="5F3B6733"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2020</w:t>
            </w:r>
          </w:p>
        </w:tc>
        <w:tc>
          <w:tcPr>
            <w:tcW w:w="868" w:type="dxa"/>
            <w:tcBorders>
              <w:top w:val="nil"/>
              <w:left w:val="nil"/>
              <w:bottom w:val="nil"/>
              <w:right w:val="single" w:sz="4" w:space="0" w:color="auto"/>
            </w:tcBorders>
            <w:shd w:val="clear" w:color="auto" w:fill="auto"/>
            <w:noWrap/>
            <w:vAlign w:val="bottom"/>
            <w:hideMark/>
          </w:tcPr>
          <w:p w14:paraId="04F2F1B0"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7</w:t>
            </w:r>
          </w:p>
        </w:tc>
        <w:tc>
          <w:tcPr>
            <w:tcW w:w="1148" w:type="dxa"/>
            <w:tcBorders>
              <w:top w:val="nil"/>
              <w:left w:val="nil"/>
              <w:bottom w:val="nil"/>
              <w:right w:val="single" w:sz="4" w:space="0" w:color="auto"/>
            </w:tcBorders>
            <w:shd w:val="clear" w:color="auto" w:fill="auto"/>
            <w:noWrap/>
            <w:vAlign w:val="bottom"/>
            <w:hideMark/>
          </w:tcPr>
          <w:p w14:paraId="772E9E76"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7</w:t>
            </w:r>
          </w:p>
        </w:tc>
        <w:tc>
          <w:tcPr>
            <w:tcW w:w="1651" w:type="dxa"/>
            <w:tcBorders>
              <w:top w:val="nil"/>
              <w:left w:val="nil"/>
              <w:bottom w:val="nil"/>
              <w:right w:val="single" w:sz="4" w:space="0" w:color="auto"/>
            </w:tcBorders>
            <w:shd w:val="clear" w:color="auto" w:fill="auto"/>
            <w:noWrap/>
            <w:vAlign w:val="bottom"/>
            <w:hideMark/>
          </w:tcPr>
          <w:p w14:paraId="5282178B"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679</w:t>
            </w:r>
          </w:p>
        </w:tc>
        <w:tc>
          <w:tcPr>
            <w:tcW w:w="1475" w:type="dxa"/>
            <w:tcBorders>
              <w:top w:val="nil"/>
              <w:left w:val="nil"/>
              <w:bottom w:val="nil"/>
              <w:right w:val="single" w:sz="4" w:space="0" w:color="auto"/>
            </w:tcBorders>
            <w:shd w:val="clear" w:color="auto" w:fill="auto"/>
            <w:noWrap/>
            <w:vAlign w:val="bottom"/>
            <w:hideMark/>
          </w:tcPr>
          <w:p w14:paraId="63CE00F1"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2027</w:t>
            </w:r>
          </w:p>
        </w:tc>
        <w:tc>
          <w:tcPr>
            <w:tcW w:w="1431" w:type="dxa"/>
            <w:tcBorders>
              <w:top w:val="nil"/>
              <w:left w:val="nil"/>
              <w:bottom w:val="single" w:sz="4" w:space="0" w:color="auto"/>
              <w:right w:val="single" w:sz="4" w:space="0" w:color="auto"/>
            </w:tcBorders>
            <w:shd w:val="clear" w:color="000000" w:fill="FFFFFF"/>
            <w:noWrap/>
            <w:vAlign w:val="bottom"/>
            <w:hideMark/>
          </w:tcPr>
          <w:p w14:paraId="71070865"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780</w:t>
            </w:r>
          </w:p>
        </w:tc>
      </w:tr>
      <w:tr w:rsidR="009A5B82" w:rsidRPr="009A5B82" w14:paraId="3B9ECCFB" w14:textId="77777777" w:rsidTr="009A5B82">
        <w:trPr>
          <w:trHeight w:val="315"/>
        </w:trPr>
        <w:tc>
          <w:tcPr>
            <w:tcW w:w="272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8FD83A6" w14:textId="77777777" w:rsidR="009A5B82" w:rsidRPr="009A5B82" w:rsidRDefault="009A5B82" w:rsidP="009A5B82">
            <w:pPr>
              <w:ind w:firstLineChars="100" w:firstLine="220"/>
              <w:rPr>
                <w:rFonts w:ascii="Calibri" w:eastAsia="Times New Roman" w:hAnsi="Calibri" w:cs="Calibri"/>
                <w:color w:val="000000"/>
              </w:rPr>
            </w:pPr>
            <w:r w:rsidRPr="009A5B82">
              <w:rPr>
                <w:rFonts w:ascii="Calibri" w:eastAsia="Times New Roman" w:hAnsi="Calibri" w:cs="Calibri"/>
                <w:color w:val="000000"/>
              </w:rPr>
              <w:t>Curb Painting: Address</w:t>
            </w:r>
          </w:p>
        </w:tc>
        <w:tc>
          <w:tcPr>
            <w:tcW w:w="1224" w:type="dxa"/>
            <w:tcBorders>
              <w:top w:val="single" w:sz="4" w:space="0" w:color="auto"/>
              <w:left w:val="nil"/>
              <w:bottom w:val="single" w:sz="8" w:space="0" w:color="auto"/>
              <w:right w:val="single" w:sz="4" w:space="0" w:color="auto"/>
            </w:tcBorders>
            <w:shd w:val="clear" w:color="auto" w:fill="auto"/>
            <w:noWrap/>
            <w:vAlign w:val="bottom"/>
            <w:hideMark/>
          </w:tcPr>
          <w:p w14:paraId="00B02E75"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2014</w:t>
            </w:r>
          </w:p>
        </w:tc>
        <w:tc>
          <w:tcPr>
            <w:tcW w:w="868" w:type="dxa"/>
            <w:tcBorders>
              <w:top w:val="single" w:sz="4" w:space="0" w:color="auto"/>
              <w:left w:val="nil"/>
              <w:bottom w:val="single" w:sz="8" w:space="0" w:color="auto"/>
              <w:right w:val="single" w:sz="4" w:space="0" w:color="auto"/>
            </w:tcBorders>
            <w:shd w:val="clear" w:color="auto" w:fill="auto"/>
            <w:noWrap/>
            <w:vAlign w:val="bottom"/>
            <w:hideMark/>
          </w:tcPr>
          <w:p w14:paraId="01F2E5F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8</w:t>
            </w:r>
          </w:p>
        </w:tc>
        <w:tc>
          <w:tcPr>
            <w:tcW w:w="1148" w:type="dxa"/>
            <w:tcBorders>
              <w:top w:val="single" w:sz="4" w:space="0" w:color="auto"/>
              <w:left w:val="nil"/>
              <w:bottom w:val="single" w:sz="8" w:space="0" w:color="auto"/>
              <w:right w:val="single" w:sz="4" w:space="0" w:color="auto"/>
            </w:tcBorders>
            <w:shd w:val="clear" w:color="auto" w:fill="auto"/>
            <w:noWrap/>
            <w:vAlign w:val="bottom"/>
            <w:hideMark/>
          </w:tcPr>
          <w:p w14:paraId="5E6E108C"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1</w:t>
            </w:r>
          </w:p>
        </w:tc>
        <w:tc>
          <w:tcPr>
            <w:tcW w:w="1651" w:type="dxa"/>
            <w:tcBorders>
              <w:top w:val="single" w:sz="4" w:space="0" w:color="auto"/>
              <w:left w:val="nil"/>
              <w:bottom w:val="single" w:sz="8" w:space="0" w:color="auto"/>
              <w:right w:val="single" w:sz="4" w:space="0" w:color="auto"/>
            </w:tcBorders>
            <w:shd w:val="clear" w:color="auto" w:fill="auto"/>
            <w:noWrap/>
            <w:vAlign w:val="bottom"/>
            <w:hideMark/>
          </w:tcPr>
          <w:p w14:paraId="3F7DB6F1"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3000</w:t>
            </w:r>
          </w:p>
        </w:tc>
        <w:tc>
          <w:tcPr>
            <w:tcW w:w="1475" w:type="dxa"/>
            <w:tcBorders>
              <w:top w:val="single" w:sz="4" w:space="0" w:color="auto"/>
              <w:left w:val="nil"/>
              <w:bottom w:val="single" w:sz="8" w:space="0" w:color="auto"/>
              <w:right w:val="single" w:sz="4" w:space="0" w:color="auto"/>
            </w:tcBorders>
            <w:shd w:val="clear" w:color="auto" w:fill="auto"/>
            <w:noWrap/>
            <w:vAlign w:val="bottom"/>
            <w:hideMark/>
          </w:tcPr>
          <w:p w14:paraId="54E0123E"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2022</w:t>
            </w:r>
          </w:p>
        </w:tc>
        <w:tc>
          <w:tcPr>
            <w:tcW w:w="1431" w:type="dxa"/>
            <w:tcBorders>
              <w:top w:val="nil"/>
              <w:left w:val="nil"/>
              <w:bottom w:val="single" w:sz="8" w:space="0" w:color="auto"/>
              <w:right w:val="single" w:sz="4" w:space="0" w:color="auto"/>
            </w:tcBorders>
            <w:shd w:val="clear" w:color="auto" w:fill="auto"/>
            <w:noWrap/>
            <w:vAlign w:val="bottom"/>
            <w:hideMark/>
          </w:tcPr>
          <w:p w14:paraId="3328B46F" w14:textId="77777777" w:rsidR="009A5B82" w:rsidRPr="009A5B82" w:rsidRDefault="009A5B82" w:rsidP="009A5B82">
            <w:pPr>
              <w:jc w:val="center"/>
              <w:rPr>
                <w:rFonts w:ascii="Calibri" w:eastAsia="Times New Roman" w:hAnsi="Calibri" w:cs="Calibri"/>
                <w:color w:val="000000"/>
              </w:rPr>
            </w:pPr>
            <w:r w:rsidRPr="009A5B82">
              <w:rPr>
                <w:rFonts w:ascii="Calibri" w:eastAsia="Times New Roman" w:hAnsi="Calibri" w:cs="Calibri"/>
                <w:color w:val="000000"/>
              </w:rPr>
              <w:t>3060</w:t>
            </w:r>
          </w:p>
        </w:tc>
      </w:tr>
    </w:tbl>
    <w:p w14:paraId="75651ABE" w14:textId="3B5A698B" w:rsidR="00BC65C3" w:rsidRDefault="00BC65C3">
      <w:pPr>
        <w:jc w:val="center"/>
      </w:pPr>
    </w:p>
    <w:sectPr w:rsidR="00BC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68A"/>
    <w:multiLevelType w:val="hybridMultilevel"/>
    <w:tmpl w:val="038E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60EBE"/>
    <w:multiLevelType w:val="hybridMultilevel"/>
    <w:tmpl w:val="8160ADF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AC"/>
    <w:rsid w:val="001829AC"/>
    <w:rsid w:val="001B757F"/>
    <w:rsid w:val="002E2310"/>
    <w:rsid w:val="004C4661"/>
    <w:rsid w:val="00673B29"/>
    <w:rsid w:val="007656B5"/>
    <w:rsid w:val="00835FAF"/>
    <w:rsid w:val="00932F98"/>
    <w:rsid w:val="009A5B82"/>
    <w:rsid w:val="00BC65C3"/>
    <w:rsid w:val="00CA5491"/>
    <w:rsid w:val="00CA7CEE"/>
    <w:rsid w:val="00D71BE4"/>
    <w:rsid w:val="00D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0D67"/>
  <w15:chartTrackingRefBased/>
  <w15:docId w15:val="{1DC2C874-FBA4-4365-A1D2-1CC1B711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AC"/>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83198">
      <w:bodyDiv w:val="1"/>
      <w:marLeft w:val="0"/>
      <w:marRight w:val="0"/>
      <w:marTop w:val="0"/>
      <w:marBottom w:val="0"/>
      <w:divBdr>
        <w:top w:val="none" w:sz="0" w:space="0" w:color="auto"/>
        <w:left w:val="none" w:sz="0" w:space="0" w:color="auto"/>
        <w:bottom w:val="none" w:sz="0" w:space="0" w:color="auto"/>
        <w:right w:val="none" w:sz="0" w:space="0" w:color="auto"/>
      </w:divBdr>
    </w:div>
    <w:div w:id="550262609">
      <w:bodyDiv w:val="1"/>
      <w:marLeft w:val="0"/>
      <w:marRight w:val="0"/>
      <w:marTop w:val="0"/>
      <w:marBottom w:val="0"/>
      <w:divBdr>
        <w:top w:val="none" w:sz="0" w:space="0" w:color="auto"/>
        <w:left w:val="none" w:sz="0" w:space="0" w:color="auto"/>
        <w:bottom w:val="none" w:sz="0" w:space="0" w:color="auto"/>
        <w:right w:val="none" w:sz="0" w:space="0" w:color="auto"/>
      </w:divBdr>
    </w:div>
    <w:div w:id="5890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Carla Crane</cp:lastModifiedBy>
  <cp:revision>2</cp:revision>
  <dcterms:created xsi:type="dcterms:W3CDTF">2021-10-10T17:01:00Z</dcterms:created>
  <dcterms:modified xsi:type="dcterms:W3CDTF">2021-10-10T17:01:00Z</dcterms:modified>
</cp:coreProperties>
</file>